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B0DA" w14:textId="77777777" w:rsidR="00DB0C6A" w:rsidRDefault="00DB0C6A" w:rsidP="00A33D87">
      <w:pPr>
        <w:ind w:left="720" w:hanging="360"/>
      </w:pPr>
    </w:p>
    <w:p w14:paraId="11D47B34" w14:textId="33A54AB3" w:rsidR="00DB0C6A" w:rsidRPr="00DB0C6A" w:rsidRDefault="00DB0C6A" w:rsidP="00DB0C6A">
      <w:pPr>
        <w:ind w:left="360"/>
        <w:rPr>
          <w:b/>
          <w:bCs/>
          <w:sz w:val="28"/>
          <w:szCs w:val="28"/>
        </w:rPr>
      </w:pPr>
      <w:r>
        <w:rPr>
          <w:b/>
          <w:bCs/>
          <w:sz w:val="28"/>
          <w:szCs w:val="28"/>
        </w:rPr>
        <w:t xml:space="preserve">Top Ten Ways to Improve Employment for Individuals with IDD Receiving SSI and/or Title II </w:t>
      </w:r>
    </w:p>
    <w:p w14:paraId="1F47F09F" w14:textId="362FE359" w:rsidR="00A33D87" w:rsidRPr="00DB0C6A" w:rsidRDefault="00A33D87" w:rsidP="00A33D87">
      <w:pPr>
        <w:pStyle w:val="ListParagraph"/>
        <w:numPr>
          <w:ilvl w:val="0"/>
          <w:numId w:val="1"/>
        </w:numPr>
        <w:rPr>
          <w:b/>
          <w:bCs/>
          <w:sz w:val="28"/>
          <w:szCs w:val="28"/>
        </w:rPr>
      </w:pPr>
      <w:r w:rsidRPr="00DB0C6A">
        <w:rPr>
          <w:b/>
          <w:bCs/>
          <w:sz w:val="28"/>
          <w:szCs w:val="28"/>
        </w:rPr>
        <w:t xml:space="preserve">Enhance </w:t>
      </w:r>
      <w:proofErr w:type="spellStart"/>
      <w:r w:rsidRPr="00DB0C6A">
        <w:rPr>
          <w:b/>
          <w:bCs/>
          <w:sz w:val="28"/>
          <w:szCs w:val="28"/>
        </w:rPr>
        <w:t>MySocialSecurity</w:t>
      </w:r>
      <w:proofErr w:type="spellEnd"/>
      <w:r w:rsidRPr="00DB0C6A">
        <w:rPr>
          <w:b/>
          <w:bCs/>
          <w:sz w:val="28"/>
          <w:szCs w:val="28"/>
        </w:rPr>
        <w:t xml:space="preserve"> Application – This will ensure that SSA has all the correct information prior to starting any type of CDR or Overpayment proceedings.</w:t>
      </w:r>
      <w:r w:rsidR="00DB0C6A">
        <w:rPr>
          <w:b/>
          <w:bCs/>
          <w:sz w:val="28"/>
          <w:szCs w:val="28"/>
        </w:rPr>
        <w:t xml:space="preserve"> This is a cost savings reducing workload, improving turn-around, lowering unnecessary hearings.</w:t>
      </w:r>
      <w:r w:rsidR="00A43B81">
        <w:rPr>
          <w:b/>
          <w:bCs/>
          <w:sz w:val="28"/>
          <w:szCs w:val="28"/>
        </w:rPr>
        <w:t xml:space="preserve"> (Should we simplify all these </w:t>
      </w:r>
      <w:proofErr w:type="spellStart"/>
      <w:r w:rsidR="00A43B81">
        <w:rPr>
          <w:b/>
          <w:bCs/>
          <w:sz w:val="28"/>
          <w:szCs w:val="28"/>
        </w:rPr>
        <w:t>MySSA</w:t>
      </w:r>
      <w:proofErr w:type="spellEnd"/>
      <w:r w:rsidR="00A43B81">
        <w:rPr>
          <w:b/>
          <w:bCs/>
          <w:sz w:val="28"/>
          <w:szCs w:val="28"/>
        </w:rPr>
        <w:t xml:space="preserve"> suggestions?)</w:t>
      </w:r>
    </w:p>
    <w:p w14:paraId="297DA16F" w14:textId="71F03592" w:rsidR="00A33D87" w:rsidRPr="00DB0C6A" w:rsidRDefault="00A33D87" w:rsidP="00A33D87">
      <w:pPr>
        <w:pStyle w:val="ListParagraph"/>
        <w:numPr>
          <w:ilvl w:val="1"/>
          <w:numId w:val="1"/>
        </w:numPr>
        <w:rPr>
          <w:rStyle w:val="Hyperlink"/>
          <w:rFonts w:cs="Times New Roman"/>
          <w:color w:val="auto"/>
          <w:sz w:val="28"/>
          <w:szCs w:val="28"/>
          <w:u w:val="none"/>
        </w:rPr>
      </w:pPr>
      <w:r w:rsidRPr="00DB0C6A">
        <w:rPr>
          <w:rFonts w:cs="Times New Roman"/>
          <w:sz w:val="28"/>
          <w:szCs w:val="28"/>
        </w:rPr>
        <w:t>Integrate the input of Work Incentives / Employment Supports with wage reporting (</w:t>
      </w:r>
      <w:proofErr w:type="spellStart"/>
      <w:r w:rsidRPr="00DB0C6A">
        <w:rPr>
          <w:rFonts w:cs="Times New Roman"/>
          <w:sz w:val="28"/>
          <w:szCs w:val="28"/>
        </w:rPr>
        <w:t>mySocialSecurity</w:t>
      </w:r>
      <w:proofErr w:type="spellEnd"/>
      <w:r w:rsidRPr="00DB0C6A">
        <w:rPr>
          <w:rFonts w:cs="Times New Roman"/>
          <w:sz w:val="28"/>
          <w:szCs w:val="28"/>
        </w:rPr>
        <w:t xml:space="preserve"> Application) </w:t>
      </w:r>
      <w:hyperlink w:anchor="e1" w:history="1">
        <w:r w:rsidRPr="00DB0C6A">
          <w:rPr>
            <w:rStyle w:val="Hyperlink"/>
            <w:rFonts w:cs="Times New Roman"/>
            <w:sz w:val="28"/>
            <w:szCs w:val="28"/>
          </w:rPr>
          <w:t>(E 1)</w:t>
        </w:r>
      </w:hyperlink>
    </w:p>
    <w:p w14:paraId="27442278" w14:textId="34BB5244" w:rsidR="00A33D87" w:rsidRPr="00DB0C6A" w:rsidRDefault="00A33D87" w:rsidP="00A33D87">
      <w:pPr>
        <w:pStyle w:val="ListParagraph"/>
        <w:numPr>
          <w:ilvl w:val="1"/>
          <w:numId w:val="1"/>
        </w:numPr>
        <w:rPr>
          <w:rStyle w:val="Hyperlink"/>
          <w:rFonts w:cs="Times New Roman"/>
          <w:color w:val="auto"/>
          <w:sz w:val="28"/>
          <w:szCs w:val="28"/>
          <w:u w:val="none"/>
        </w:rPr>
      </w:pPr>
      <w:r w:rsidRPr="00DB0C6A">
        <w:rPr>
          <w:rFonts w:cs="Times New Roman"/>
          <w:sz w:val="28"/>
          <w:szCs w:val="28"/>
        </w:rPr>
        <w:t xml:space="preserve">Modify </w:t>
      </w:r>
      <w:proofErr w:type="spellStart"/>
      <w:r w:rsidRPr="00DB0C6A">
        <w:rPr>
          <w:rFonts w:cs="Times New Roman"/>
          <w:sz w:val="28"/>
          <w:szCs w:val="28"/>
        </w:rPr>
        <w:t>mySocial</w:t>
      </w:r>
      <w:proofErr w:type="spellEnd"/>
      <w:r w:rsidRPr="00DB0C6A">
        <w:rPr>
          <w:rFonts w:cs="Times New Roman"/>
          <w:sz w:val="28"/>
          <w:szCs w:val="28"/>
        </w:rPr>
        <w:t xml:space="preserve"> Security to ensure IRWE is reported when earnings are reported. </w:t>
      </w:r>
      <w:hyperlink w:anchor="wi13" w:history="1">
        <w:r w:rsidRPr="00DB0C6A">
          <w:rPr>
            <w:rStyle w:val="Hyperlink"/>
            <w:rFonts w:cs="Times New Roman"/>
            <w:sz w:val="28"/>
            <w:szCs w:val="28"/>
          </w:rPr>
          <w:t>(WI 13)</w:t>
        </w:r>
      </w:hyperlink>
    </w:p>
    <w:p w14:paraId="574F24D8" w14:textId="77777777" w:rsidR="00A33D87" w:rsidRPr="00DB0C6A" w:rsidRDefault="00A33D87" w:rsidP="00A33D87">
      <w:pPr>
        <w:pStyle w:val="ListParagraph"/>
        <w:numPr>
          <w:ilvl w:val="1"/>
          <w:numId w:val="1"/>
        </w:numPr>
        <w:rPr>
          <w:rStyle w:val="Hyperlink"/>
          <w:rFonts w:cs="Times New Roman"/>
          <w:color w:val="auto"/>
          <w:sz w:val="28"/>
          <w:szCs w:val="28"/>
          <w:u w:val="none"/>
        </w:rPr>
      </w:pPr>
      <w:r w:rsidRPr="00DB0C6A">
        <w:rPr>
          <w:rFonts w:cs="Times New Roman"/>
          <w:sz w:val="28"/>
          <w:szCs w:val="28"/>
        </w:rPr>
        <w:t xml:space="preserve">Reporting of income MUST provide the option to specify Subsidies and Special Conditions relative to success employment (job coaching, paid training programs, job modifications made to support the person with IDD). This should be a feature of the My Social Security website/mobile app. </w:t>
      </w:r>
      <w:hyperlink w:anchor="cd4" w:history="1">
        <w:r w:rsidRPr="00DB0C6A">
          <w:rPr>
            <w:rStyle w:val="Hyperlink"/>
            <w:rFonts w:cs="Times New Roman"/>
            <w:sz w:val="28"/>
            <w:szCs w:val="28"/>
          </w:rPr>
          <w:t>(CD 4)</w:t>
        </w:r>
      </w:hyperlink>
    </w:p>
    <w:p w14:paraId="3909B91A" w14:textId="77777777" w:rsidR="00A33D87" w:rsidRPr="00DB0C6A" w:rsidRDefault="00A33D87" w:rsidP="00A33D87">
      <w:pPr>
        <w:pStyle w:val="ListParagraph"/>
        <w:numPr>
          <w:ilvl w:val="1"/>
          <w:numId w:val="1"/>
        </w:numPr>
        <w:rPr>
          <w:rStyle w:val="Hyperlink"/>
          <w:rFonts w:cs="Times New Roman"/>
          <w:color w:val="auto"/>
          <w:sz w:val="28"/>
          <w:szCs w:val="28"/>
          <w:u w:val="none"/>
        </w:rPr>
      </w:pPr>
      <w:r w:rsidRPr="00DB0C6A">
        <w:rPr>
          <w:rFonts w:cs="Times New Roman"/>
          <w:sz w:val="28"/>
          <w:szCs w:val="28"/>
        </w:rPr>
        <w:t xml:space="preserve">My Social Security shall also be updated with email sent to person with IDD and Rep Payee for original notification and all phases and requests. </w:t>
      </w:r>
      <w:hyperlink w:anchor="cd8" w:history="1">
        <w:r w:rsidRPr="00DB0C6A">
          <w:rPr>
            <w:rStyle w:val="Hyperlink"/>
            <w:rFonts w:cs="Times New Roman"/>
            <w:sz w:val="28"/>
            <w:szCs w:val="28"/>
          </w:rPr>
          <w:t>(CD 8)</w:t>
        </w:r>
      </w:hyperlink>
    </w:p>
    <w:p w14:paraId="6D9A47FB" w14:textId="77777777" w:rsidR="00A33D87" w:rsidRPr="00DB0C6A" w:rsidRDefault="00A33D87" w:rsidP="00A33D87">
      <w:pPr>
        <w:pStyle w:val="ListParagraph"/>
        <w:numPr>
          <w:ilvl w:val="1"/>
          <w:numId w:val="1"/>
        </w:numPr>
        <w:rPr>
          <w:rStyle w:val="Hyperlink"/>
          <w:rFonts w:cs="Times New Roman"/>
          <w:color w:val="auto"/>
          <w:sz w:val="28"/>
          <w:szCs w:val="28"/>
          <w:u w:val="none"/>
        </w:rPr>
      </w:pPr>
      <w:r w:rsidRPr="00DB0C6A">
        <w:rPr>
          <w:rFonts w:cs="Times New Roman"/>
          <w:sz w:val="28"/>
          <w:szCs w:val="28"/>
        </w:rPr>
        <w:t xml:space="preserve">Current benefits status shall be visible and accurate from </w:t>
      </w:r>
      <w:proofErr w:type="spellStart"/>
      <w:proofErr w:type="gramStart"/>
      <w:r w:rsidRPr="00DB0C6A">
        <w:rPr>
          <w:rFonts w:cs="Times New Roman"/>
          <w:sz w:val="28"/>
          <w:szCs w:val="28"/>
        </w:rPr>
        <w:t>mySocial</w:t>
      </w:r>
      <w:proofErr w:type="spellEnd"/>
      <w:proofErr w:type="gramEnd"/>
      <w:r w:rsidRPr="00DB0C6A">
        <w:rPr>
          <w:rFonts w:cs="Times New Roman"/>
          <w:sz w:val="28"/>
          <w:szCs w:val="28"/>
        </w:rPr>
        <w:t xml:space="preserve"> Security account. </w:t>
      </w:r>
      <w:hyperlink w:anchor="er3" w:history="1">
        <w:r w:rsidRPr="00DB0C6A">
          <w:rPr>
            <w:rStyle w:val="Hyperlink"/>
            <w:rFonts w:cs="Times New Roman"/>
            <w:sz w:val="28"/>
            <w:szCs w:val="28"/>
          </w:rPr>
          <w:t>(ER 3)</w:t>
        </w:r>
      </w:hyperlink>
    </w:p>
    <w:p w14:paraId="27605B68" w14:textId="77777777" w:rsidR="00A33D87" w:rsidRPr="00DB0C6A" w:rsidRDefault="00A33D87" w:rsidP="00A33D87">
      <w:pPr>
        <w:pStyle w:val="ListParagraph"/>
        <w:numPr>
          <w:ilvl w:val="1"/>
          <w:numId w:val="1"/>
        </w:numPr>
        <w:rPr>
          <w:rStyle w:val="Hyperlink"/>
          <w:rFonts w:cs="Times New Roman"/>
          <w:color w:val="auto"/>
          <w:sz w:val="28"/>
          <w:szCs w:val="28"/>
          <w:u w:val="none"/>
        </w:rPr>
      </w:pPr>
      <w:r w:rsidRPr="00DB0C6A">
        <w:rPr>
          <w:rFonts w:cs="Times New Roman"/>
          <w:sz w:val="28"/>
          <w:szCs w:val="28"/>
        </w:rPr>
        <w:t xml:space="preserve">Allow for application by Rep Payee or beneficiary on </w:t>
      </w:r>
      <w:proofErr w:type="spellStart"/>
      <w:r w:rsidRPr="00DB0C6A">
        <w:rPr>
          <w:rFonts w:cs="Times New Roman"/>
          <w:sz w:val="28"/>
          <w:szCs w:val="28"/>
        </w:rPr>
        <w:t>MySocialSecurity</w:t>
      </w:r>
      <w:proofErr w:type="spellEnd"/>
      <w:r w:rsidRPr="00DB0C6A">
        <w:rPr>
          <w:rFonts w:cs="Times New Roman"/>
          <w:sz w:val="28"/>
          <w:szCs w:val="28"/>
        </w:rPr>
        <w:t xml:space="preserve"> (Currently paper process) (If the person is given a 3-month notice that includes the creation of a plan) (Procedure Operation Manual – POMS) </w:t>
      </w:r>
      <w:hyperlink w:anchor="er9" w:history="1">
        <w:r w:rsidRPr="00DB0C6A">
          <w:rPr>
            <w:rStyle w:val="Hyperlink"/>
            <w:rFonts w:cs="Times New Roman"/>
            <w:sz w:val="28"/>
            <w:szCs w:val="28"/>
          </w:rPr>
          <w:t>(ER9)</w:t>
        </w:r>
      </w:hyperlink>
    </w:p>
    <w:p w14:paraId="0483AE5E" w14:textId="5DA304E0" w:rsidR="00A33D87" w:rsidRPr="00DB0C6A" w:rsidRDefault="00A33D87" w:rsidP="00A33D87">
      <w:pPr>
        <w:pStyle w:val="ListParagraph"/>
        <w:numPr>
          <w:ilvl w:val="1"/>
          <w:numId w:val="1"/>
        </w:numPr>
        <w:rPr>
          <w:rFonts w:cs="Times New Roman"/>
          <w:sz w:val="28"/>
          <w:szCs w:val="28"/>
        </w:rPr>
      </w:pPr>
      <w:r w:rsidRPr="00DB0C6A">
        <w:rPr>
          <w:rFonts w:cs="Times New Roman"/>
          <w:sz w:val="28"/>
          <w:szCs w:val="28"/>
        </w:rPr>
        <w:t xml:space="preserve">Current benefits status shall be visible and accurate from </w:t>
      </w:r>
      <w:proofErr w:type="spellStart"/>
      <w:proofErr w:type="gramStart"/>
      <w:r w:rsidRPr="00DB0C6A">
        <w:rPr>
          <w:rFonts w:cs="Times New Roman"/>
          <w:sz w:val="28"/>
          <w:szCs w:val="28"/>
        </w:rPr>
        <w:t>mySocial</w:t>
      </w:r>
      <w:proofErr w:type="spellEnd"/>
      <w:proofErr w:type="gramEnd"/>
      <w:r w:rsidRPr="00DB0C6A">
        <w:rPr>
          <w:rFonts w:cs="Times New Roman"/>
          <w:sz w:val="28"/>
          <w:szCs w:val="28"/>
        </w:rPr>
        <w:t xml:space="preserve"> Security account. </w:t>
      </w:r>
      <w:hyperlink w:anchor="er14" w:history="1">
        <w:r w:rsidRPr="00DB0C6A">
          <w:rPr>
            <w:rStyle w:val="Hyperlink"/>
            <w:rFonts w:cs="Times New Roman"/>
            <w:sz w:val="28"/>
            <w:szCs w:val="28"/>
          </w:rPr>
          <w:t>(ER 14)</w:t>
        </w:r>
      </w:hyperlink>
      <w:r w:rsidRPr="00DB0C6A">
        <w:rPr>
          <w:rStyle w:val="Hyperlink"/>
          <w:rFonts w:cs="Times New Roman"/>
          <w:sz w:val="28"/>
          <w:szCs w:val="28"/>
        </w:rPr>
        <w:br/>
      </w:r>
    </w:p>
    <w:p w14:paraId="25E6C09B" w14:textId="2E9BE479" w:rsidR="00A33D87" w:rsidRPr="00DB0C6A" w:rsidRDefault="00A33D87" w:rsidP="00A33D87">
      <w:pPr>
        <w:pStyle w:val="ListParagraph"/>
        <w:numPr>
          <w:ilvl w:val="0"/>
          <w:numId w:val="1"/>
        </w:numPr>
        <w:rPr>
          <w:b/>
          <w:bCs/>
          <w:sz w:val="28"/>
          <w:szCs w:val="28"/>
        </w:rPr>
      </w:pPr>
      <w:r w:rsidRPr="00DB0C6A">
        <w:rPr>
          <w:b/>
          <w:bCs/>
          <w:sz w:val="28"/>
          <w:szCs w:val="28"/>
        </w:rPr>
        <w:t>Stop advising people to work fewer hours – wordsmith (Melissa)</w:t>
      </w:r>
      <w:r w:rsidR="00DB0C6A">
        <w:rPr>
          <w:b/>
          <w:bCs/>
          <w:sz w:val="28"/>
          <w:szCs w:val="28"/>
        </w:rPr>
        <w:t>?</w:t>
      </w:r>
      <w:r w:rsidR="00DB0C6A">
        <w:rPr>
          <w:b/>
          <w:bCs/>
          <w:sz w:val="28"/>
          <w:szCs w:val="28"/>
        </w:rPr>
        <w:br/>
      </w:r>
    </w:p>
    <w:p w14:paraId="2077C0AB" w14:textId="68B16638" w:rsidR="00A33D87" w:rsidRPr="00DB0C6A" w:rsidRDefault="00A33D87" w:rsidP="00A33D87">
      <w:pPr>
        <w:pStyle w:val="ListParagraph"/>
        <w:numPr>
          <w:ilvl w:val="0"/>
          <w:numId w:val="1"/>
        </w:numPr>
        <w:rPr>
          <w:b/>
          <w:bCs/>
          <w:sz w:val="28"/>
          <w:szCs w:val="28"/>
        </w:rPr>
      </w:pPr>
      <w:r w:rsidRPr="00DB0C6A">
        <w:rPr>
          <w:b/>
          <w:bCs/>
          <w:sz w:val="28"/>
          <w:szCs w:val="28"/>
        </w:rPr>
        <w:t>Limitations on overpayment</w:t>
      </w:r>
      <w:r w:rsidR="00DB0C6A">
        <w:rPr>
          <w:b/>
          <w:bCs/>
          <w:sz w:val="28"/>
          <w:szCs w:val="28"/>
        </w:rPr>
        <w:t>. Minor cost increase to SSA – but reduces financial burden on individuals with IDD who lack financial means.</w:t>
      </w:r>
    </w:p>
    <w:p w14:paraId="529ABBF9" w14:textId="185D3130" w:rsidR="00A33D87" w:rsidRPr="00DB0C6A" w:rsidRDefault="00A33D87" w:rsidP="00A33D87">
      <w:pPr>
        <w:pStyle w:val="ListParagraph"/>
        <w:numPr>
          <w:ilvl w:val="1"/>
          <w:numId w:val="1"/>
        </w:numPr>
        <w:rPr>
          <w:rFonts w:cs="Times New Roman"/>
          <w:sz w:val="28"/>
          <w:szCs w:val="28"/>
        </w:rPr>
      </w:pPr>
      <w:r w:rsidRPr="00DB0C6A">
        <w:rPr>
          <w:rFonts w:cs="Times New Roman"/>
          <w:sz w:val="28"/>
          <w:szCs w:val="28"/>
        </w:rPr>
        <w:lastRenderedPageBreak/>
        <w:t xml:space="preserve">Overpayment Invoices should be capped to one year of benefits. (If the delay is not due to IDD failure to report) </w:t>
      </w:r>
      <w:hyperlink w:anchor="pr1" w:history="1">
        <w:r w:rsidRPr="00DB0C6A">
          <w:rPr>
            <w:rStyle w:val="Hyperlink"/>
            <w:rFonts w:cs="Times New Roman"/>
            <w:sz w:val="28"/>
            <w:szCs w:val="28"/>
          </w:rPr>
          <w:t>(PR 1)</w:t>
        </w:r>
      </w:hyperlink>
      <w:r w:rsidR="00DB0C6A">
        <w:rPr>
          <w:rStyle w:val="Hyperlink"/>
          <w:rFonts w:cs="Times New Roman"/>
          <w:sz w:val="28"/>
          <w:szCs w:val="28"/>
        </w:rPr>
        <w:br/>
      </w:r>
    </w:p>
    <w:p w14:paraId="2D27291A" w14:textId="3173CB81" w:rsidR="00A33D87" w:rsidRPr="00DB0C6A" w:rsidRDefault="00BF7FEE" w:rsidP="00A33D87">
      <w:pPr>
        <w:pStyle w:val="ListParagraph"/>
        <w:numPr>
          <w:ilvl w:val="0"/>
          <w:numId w:val="1"/>
        </w:numPr>
        <w:rPr>
          <w:b/>
          <w:bCs/>
          <w:sz w:val="28"/>
          <w:szCs w:val="28"/>
        </w:rPr>
      </w:pPr>
      <w:r w:rsidRPr="00DB0C6A">
        <w:rPr>
          <w:b/>
          <w:bCs/>
          <w:sz w:val="28"/>
          <w:szCs w:val="28"/>
        </w:rPr>
        <w:t xml:space="preserve">Reset timeframes for </w:t>
      </w:r>
      <w:r w:rsidR="00A33D87" w:rsidRPr="00DB0C6A">
        <w:rPr>
          <w:b/>
          <w:bCs/>
          <w:sz w:val="28"/>
          <w:szCs w:val="28"/>
        </w:rPr>
        <w:t xml:space="preserve">Continuing Disability Review </w:t>
      </w:r>
      <w:r w:rsidRPr="00DB0C6A">
        <w:rPr>
          <w:b/>
          <w:bCs/>
          <w:sz w:val="28"/>
          <w:szCs w:val="28"/>
        </w:rPr>
        <w:t>for IDD</w:t>
      </w:r>
      <w:r w:rsidR="00DB0C6A">
        <w:rPr>
          <w:b/>
          <w:bCs/>
          <w:sz w:val="28"/>
          <w:szCs w:val="28"/>
        </w:rPr>
        <w:t xml:space="preserve">. Cost increase to SSA. But is a more accurate indication of whether a </w:t>
      </w:r>
      <w:proofErr w:type="spellStart"/>
      <w:r w:rsidR="00DB0C6A">
        <w:rPr>
          <w:b/>
          <w:bCs/>
          <w:sz w:val="28"/>
          <w:szCs w:val="28"/>
        </w:rPr>
        <w:t>a</w:t>
      </w:r>
      <w:proofErr w:type="spellEnd"/>
      <w:r w:rsidR="00DB0C6A">
        <w:rPr>
          <w:b/>
          <w:bCs/>
          <w:sz w:val="28"/>
          <w:szCs w:val="28"/>
        </w:rPr>
        <w:t xml:space="preserve"> person with IDD is capable of working.</w:t>
      </w:r>
    </w:p>
    <w:p w14:paraId="74801167" w14:textId="25A83598" w:rsidR="00BF7FEE" w:rsidRPr="00DB0C6A" w:rsidRDefault="00BF7FEE" w:rsidP="00BF7FEE">
      <w:pPr>
        <w:pStyle w:val="TableParagraph"/>
        <w:numPr>
          <w:ilvl w:val="1"/>
          <w:numId w:val="1"/>
        </w:numPr>
        <w:tabs>
          <w:tab w:val="left" w:pos="446"/>
          <w:tab w:val="left" w:pos="447"/>
        </w:tabs>
        <w:ind w:right="351"/>
        <w:rPr>
          <w:sz w:val="28"/>
          <w:szCs w:val="28"/>
        </w:rPr>
      </w:pPr>
      <w:bookmarkStart w:id="0" w:name="cd5"/>
      <w:r w:rsidRPr="00DB0C6A">
        <w:rPr>
          <w:sz w:val="28"/>
          <w:szCs w:val="28"/>
        </w:rPr>
        <w:t>Use Blue Book (</w:t>
      </w:r>
      <w:hyperlink r:id="rId5" w:history="1">
        <w:r w:rsidRPr="00DB0C6A">
          <w:rPr>
            <w:rStyle w:val="Hyperlink"/>
            <w:sz w:val="28"/>
            <w:szCs w:val="28"/>
          </w:rPr>
          <w:t>https://www.ssa.gov/disability/professionals/bluebook/ChildhoodListings.htm</w:t>
        </w:r>
      </w:hyperlink>
      <w:r w:rsidRPr="00DB0C6A">
        <w:rPr>
          <w:sz w:val="28"/>
          <w:szCs w:val="28"/>
        </w:rPr>
        <w:t>)to identify those with more severe/significant disabilities where the condition is unlikely to substantially improve to warrant CDR.</w:t>
      </w:r>
      <w:r w:rsidRPr="00DB0C6A">
        <w:rPr>
          <w:spacing w:val="-4"/>
          <w:sz w:val="28"/>
          <w:szCs w:val="28"/>
        </w:rPr>
        <w:t xml:space="preserve"> </w:t>
      </w:r>
      <w:r w:rsidRPr="00DB0C6A">
        <w:rPr>
          <w:spacing w:val="-3"/>
          <w:sz w:val="28"/>
          <w:szCs w:val="28"/>
        </w:rPr>
        <w:t xml:space="preserve">Alternatively, </w:t>
      </w:r>
      <w:r w:rsidRPr="00DB0C6A">
        <w:rPr>
          <w:sz w:val="28"/>
          <w:szCs w:val="28"/>
        </w:rPr>
        <w:t xml:space="preserve">perhaps </w:t>
      </w:r>
      <w:r w:rsidRPr="00DB0C6A">
        <w:rPr>
          <w:spacing w:val="-2"/>
          <w:sz w:val="28"/>
          <w:szCs w:val="28"/>
        </w:rPr>
        <w:t>it can be a standard timeframe of</w:t>
      </w:r>
      <w:r w:rsidRPr="00DB0C6A">
        <w:rPr>
          <w:sz w:val="28"/>
          <w:szCs w:val="28"/>
        </w:rPr>
        <w:t xml:space="preserve"> ten years and if a person </w:t>
      </w:r>
      <w:r w:rsidRPr="00DB0C6A">
        <w:rPr>
          <w:spacing w:val="-3"/>
          <w:sz w:val="28"/>
          <w:szCs w:val="28"/>
        </w:rPr>
        <w:t xml:space="preserve">keeps </w:t>
      </w:r>
      <w:r w:rsidRPr="00DB0C6A">
        <w:rPr>
          <w:sz w:val="28"/>
          <w:szCs w:val="28"/>
        </w:rPr>
        <w:t xml:space="preserve">classification </w:t>
      </w:r>
      <w:r w:rsidRPr="00DB0C6A">
        <w:rPr>
          <w:spacing w:val="-3"/>
          <w:sz w:val="28"/>
          <w:szCs w:val="28"/>
        </w:rPr>
        <w:t xml:space="preserve">for </w:t>
      </w:r>
      <w:r w:rsidRPr="00DB0C6A">
        <w:rPr>
          <w:sz w:val="28"/>
          <w:szCs w:val="28"/>
        </w:rPr>
        <w:t>2 CDR then no future CDR will be initiated. (CD 5)</w:t>
      </w:r>
      <w:r w:rsidR="00DB0C6A">
        <w:rPr>
          <w:sz w:val="28"/>
          <w:szCs w:val="28"/>
        </w:rPr>
        <w:br/>
      </w:r>
    </w:p>
    <w:bookmarkEnd w:id="0"/>
    <w:p w14:paraId="5260A123" w14:textId="4EBF0211" w:rsidR="00A33D87" w:rsidRPr="00DB0C6A" w:rsidRDefault="00A33D87" w:rsidP="00A33D87">
      <w:pPr>
        <w:pStyle w:val="ListParagraph"/>
        <w:numPr>
          <w:ilvl w:val="0"/>
          <w:numId w:val="1"/>
        </w:numPr>
        <w:rPr>
          <w:b/>
          <w:bCs/>
          <w:sz w:val="28"/>
          <w:szCs w:val="28"/>
        </w:rPr>
      </w:pPr>
      <w:r w:rsidRPr="00DB0C6A">
        <w:rPr>
          <w:b/>
          <w:bCs/>
          <w:sz w:val="28"/>
          <w:szCs w:val="28"/>
        </w:rPr>
        <w:t>Fix</w:t>
      </w:r>
      <w:r w:rsidR="00DB0C6A">
        <w:rPr>
          <w:b/>
          <w:bCs/>
          <w:sz w:val="28"/>
          <w:szCs w:val="28"/>
        </w:rPr>
        <w:t xml:space="preserve"> </w:t>
      </w:r>
      <w:r w:rsidRPr="00DB0C6A">
        <w:rPr>
          <w:b/>
          <w:bCs/>
          <w:sz w:val="28"/>
          <w:szCs w:val="28"/>
        </w:rPr>
        <w:t>people’s ability to resume SSI / SSDI based on need</w:t>
      </w:r>
      <w:r w:rsidR="00DB0C6A">
        <w:rPr>
          <w:b/>
          <w:bCs/>
          <w:sz w:val="28"/>
          <w:szCs w:val="28"/>
        </w:rPr>
        <w:t xml:space="preserve">. Short run higher costs to SSA. </w:t>
      </w:r>
      <w:proofErr w:type="gramStart"/>
      <w:r w:rsidR="00DB0C6A">
        <w:rPr>
          <w:b/>
          <w:bCs/>
          <w:sz w:val="28"/>
          <w:szCs w:val="28"/>
        </w:rPr>
        <w:t>But</w:t>
      </w:r>
      <w:proofErr w:type="gramEnd"/>
      <w:r w:rsidR="00DB0C6A">
        <w:rPr>
          <w:b/>
          <w:bCs/>
          <w:sz w:val="28"/>
          <w:szCs w:val="28"/>
        </w:rPr>
        <w:t xml:space="preserve"> the long run</w:t>
      </w:r>
      <w:r w:rsidR="00A43B81">
        <w:rPr>
          <w:b/>
          <w:bCs/>
          <w:sz w:val="28"/>
          <w:szCs w:val="28"/>
        </w:rPr>
        <w:t xml:space="preserve"> a cost savings. The theory is that persons with IDD</w:t>
      </w:r>
      <w:r w:rsidR="00DB0C6A">
        <w:rPr>
          <w:b/>
          <w:bCs/>
          <w:sz w:val="28"/>
          <w:szCs w:val="28"/>
        </w:rPr>
        <w:t xml:space="preserve"> will work more hours and generate tax revenue</w:t>
      </w:r>
      <w:r w:rsidR="00A43B81">
        <w:rPr>
          <w:b/>
          <w:bCs/>
          <w:sz w:val="28"/>
          <w:szCs w:val="28"/>
        </w:rPr>
        <w:t>. They will likely attempt to achieve independence from SSA.</w:t>
      </w:r>
    </w:p>
    <w:p w14:paraId="48AE672E" w14:textId="411CBCAB" w:rsidR="00BF7FEE" w:rsidRPr="00DB0C6A" w:rsidRDefault="00BF7FEE" w:rsidP="00BF7FEE">
      <w:pPr>
        <w:pStyle w:val="ListParagraph"/>
        <w:numPr>
          <w:ilvl w:val="1"/>
          <w:numId w:val="1"/>
        </w:numPr>
        <w:rPr>
          <w:sz w:val="28"/>
          <w:szCs w:val="28"/>
        </w:rPr>
      </w:pPr>
      <w:bookmarkStart w:id="1" w:name="er7"/>
      <w:r w:rsidRPr="00DB0C6A">
        <w:rPr>
          <w:sz w:val="28"/>
          <w:szCs w:val="28"/>
        </w:rPr>
        <w:t xml:space="preserve">Guarantee Immediate Reinstatement upon loss of employment </w:t>
      </w:r>
      <w:r w:rsidRPr="00DB0C6A">
        <w:rPr>
          <w:spacing w:val="-3"/>
          <w:sz w:val="28"/>
          <w:szCs w:val="28"/>
        </w:rPr>
        <w:t xml:space="preserve">(Make </w:t>
      </w:r>
      <w:r w:rsidRPr="00DB0C6A">
        <w:rPr>
          <w:sz w:val="28"/>
          <w:szCs w:val="28"/>
        </w:rPr>
        <w:t xml:space="preserve">it a TRUE </w:t>
      </w:r>
      <w:r w:rsidRPr="00DB0C6A">
        <w:rPr>
          <w:spacing w:val="-3"/>
          <w:sz w:val="28"/>
          <w:szCs w:val="28"/>
        </w:rPr>
        <w:t xml:space="preserve">Safety </w:t>
      </w:r>
      <w:r w:rsidRPr="00DB0C6A">
        <w:rPr>
          <w:sz w:val="28"/>
          <w:szCs w:val="28"/>
        </w:rPr>
        <w:t>Net) (within 30 days of</w:t>
      </w:r>
      <w:r w:rsidRPr="00DB0C6A">
        <w:rPr>
          <w:spacing w:val="-11"/>
          <w:sz w:val="28"/>
          <w:szCs w:val="28"/>
        </w:rPr>
        <w:t xml:space="preserve"> </w:t>
      </w:r>
      <w:r w:rsidRPr="00DB0C6A">
        <w:rPr>
          <w:sz w:val="28"/>
          <w:szCs w:val="28"/>
        </w:rPr>
        <w:t>applying) (ER 7)</w:t>
      </w:r>
      <w:bookmarkEnd w:id="1"/>
      <w:r w:rsidR="00DB0C6A">
        <w:rPr>
          <w:sz w:val="28"/>
          <w:szCs w:val="28"/>
        </w:rPr>
        <w:br/>
      </w:r>
    </w:p>
    <w:p w14:paraId="60129B9F" w14:textId="79CB3AAB" w:rsidR="00A33D87" w:rsidRPr="00DB0C6A" w:rsidRDefault="00BF7FEE" w:rsidP="00A33D87">
      <w:pPr>
        <w:pStyle w:val="ListParagraph"/>
        <w:numPr>
          <w:ilvl w:val="0"/>
          <w:numId w:val="1"/>
        </w:numPr>
        <w:rPr>
          <w:b/>
          <w:bCs/>
          <w:sz w:val="28"/>
          <w:szCs w:val="28"/>
        </w:rPr>
      </w:pPr>
      <w:r w:rsidRPr="00DB0C6A">
        <w:rPr>
          <w:b/>
          <w:bCs/>
          <w:sz w:val="28"/>
          <w:szCs w:val="28"/>
        </w:rPr>
        <w:t>Provide additional a</w:t>
      </w:r>
      <w:r w:rsidR="00A33D87" w:rsidRPr="00DB0C6A">
        <w:rPr>
          <w:b/>
          <w:bCs/>
          <w:sz w:val="28"/>
          <w:szCs w:val="28"/>
        </w:rPr>
        <w:t xml:space="preserve">ssistance when going through an </w:t>
      </w:r>
      <w:r w:rsidR="00A43B81" w:rsidRPr="00DB0C6A">
        <w:rPr>
          <w:b/>
          <w:bCs/>
          <w:sz w:val="28"/>
          <w:szCs w:val="28"/>
        </w:rPr>
        <w:t>appeal</w:t>
      </w:r>
      <w:r w:rsidR="00A43B81">
        <w:rPr>
          <w:b/>
          <w:bCs/>
          <w:sz w:val="28"/>
          <w:szCs w:val="28"/>
        </w:rPr>
        <w:t>s</w:t>
      </w:r>
      <w:r w:rsidR="00A33D87" w:rsidRPr="00DB0C6A">
        <w:rPr>
          <w:b/>
          <w:bCs/>
          <w:sz w:val="28"/>
          <w:szCs w:val="28"/>
        </w:rPr>
        <w:t xml:space="preserve"> process</w:t>
      </w:r>
      <w:r w:rsidR="00A43B81">
        <w:rPr>
          <w:b/>
          <w:bCs/>
          <w:sz w:val="28"/>
          <w:szCs w:val="28"/>
        </w:rPr>
        <w:t xml:space="preserve">. Slightly higher </w:t>
      </w:r>
      <w:proofErr w:type="gramStart"/>
      <w:r w:rsidR="00A43B81">
        <w:rPr>
          <w:b/>
          <w:bCs/>
          <w:sz w:val="28"/>
          <w:szCs w:val="28"/>
        </w:rPr>
        <w:t>cost, but</w:t>
      </w:r>
      <w:proofErr w:type="gramEnd"/>
      <w:r w:rsidR="00A43B81">
        <w:rPr>
          <w:b/>
          <w:bCs/>
          <w:sz w:val="28"/>
          <w:szCs w:val="28"/>
        </w:rPr>
        <w:t xml:space="preserve"> will help individuals who lack means but need to navigate the appeals process.</w:t>
      </w:r>
    </w:p>
    <w:p w14:paraId="15E7F38F" w14:textId="067ECBA9" w:rsidR="00DB0C6A" w:rsidRPr="00DB0C6A" w:rsidRDefault="00DB0C6A" w:rsidP="00DB0C6A">
      <w:pPr>
        <w:pStyle w:val="ListParagraph"/>
        <w:numPr>
          <w:ilvl w:val="1"/>
          <w:numId w:val="1"/>
        </w:numPr>
        <w:rPr>
          <w:rFonts w:cs="Times New Roman"/>
          <w:sz w:val="28"/>
          <w:szCs w:val="28"/>
        </w:rPr>
      </w:pPr>
      <w:r w:rsidRPr="00DB0C6A">
        <w:rPr>
          <w:rFonts w:cs="Times New Roman"/>
          <w:sz w:val="28"/>
          <w:szCs w:val="28"/>
        </w:rPr>
        <w:t xml:space="preserve">Expand the role of the Certified Benefits Planner to include representation for helping persons with IDD/families navigate the appeals process. </w:t>
      </w:r>
      <w:hyperlink w:anchor="pr11" w:history="1">
        <w:r w:rsidRPr="00DB0C6A">
          <w:rPr>
            <w:rStyle w:val="Hyperlink"/>
            <w:rFonts w:cs="Times New Roman"/>
            <w:sz w:val="28"/>
            <w:szCs w:val="28"/>
          </w:rPr>
          <w:t>(PR 11)</w:t>
        </w:r>
      </w:hyperlink>
      <w:r>
        <w:rPr>
          <w:rStyle w:val="Hyperlink"/>
          <w:rFonts w:cs="Times New Roman"/>
          <w:sz w:val="28"/>
          <w:szCs w:val="28"/>
        </w:rPr>
        <w:br/>
      </w:r>
    </w:p>
    <w:p w14:paraId="656BB5A8" w14:textId="72BF0EDD" w:rsidR="00BF7FEE" w:rsidRPr="00DB0C6A" w:rsidRDefault="00DB0C6A" w:rsidP="00BF7FEE">
      <w:pPr>
        <w:pStyle w:val="ListParagraph"/>
        <w:numPr>
          <w:ilvl w:val="0"/>
          <w:numId w:val="1"/>
        </w:numPr>
        <w:tabs>
          <w:tab w:val="left" w:pos="446"/>
          <w:tab w:val="left" w:pos="447"/>
        </w:tabs>
        <w:ind w:right="145"/>
        <w:rPr>
          <w:b/>
          <w:bCs/>
          <w:sz w:val="28"/>
          <w:szCs w:val="28"/>
        </w:rPr>
      </w:pPr>
      <w:r>
        <w:rPr>
          <w:b/>
          <w:bCs/>
          <w:sz w:val="28"/>
          <w:szCs w:val="28"/>
        </w:rPr>
        <w:t>Stop c</w:t>
      </w:r>
      <w:r w:rsidR="00A33D87" w:rsidRPr="00DB0C6A">
        <w:rPr>
          <w:b/>
          <w:bCs/>
          <w:sz w:val="28"/>
          <w:szCs w:val="28"/>
        </w:rPr>
        <w:t>onfusing ability to work with still being disabled</w:t>
      </w:r>
      <w:r w:rsidR="00BF7FEE" w:rsidRPr="00DB0C6A">
        <w:rPr>
          <w:b/>
          <w:bCs/>
          <w:sz w:val="28"/>
          <w:szCs w:val="28"/>
        </w:rPr>
        <w:t>.</w:t>
      </w:r>
      <w:bookmarkStart w:id="2" w:name="cd2"/>
      <w:r w:rsidR="00A43B81">
        <w:rPr>
          <w:b/>
          <w:bCs/>
          <w:sz w:val="28"/>
          <w:szCs w:val="28"/>
        </w:rPr>
        <w:t xml:space="preserve"> Will increase costs to SSA. </w:t>
      </w:r>
    </w:p>
    <w:p w14:paraId="2E309EBD" w14:textId="4957B636" w:rsidR="00BF7FEE" w:rsidRPr="00DB0C6A" w:rsidRDefault="00BF7FEE" w:rsidP="00BF7FEE">
      <w:pPr>
        <w:pStyle w:val="ListParagraph"/>
        <w:numPr>
          <w:ilvl w:val="1"/>
          <w:numId w:val="1"/>
        </w:numPr>
        <w:tabs>
          <w:tab w:val="left" w:pos="446"/>
          <w:tab w:val="left" w:pos="447"/>
        </w:tabs>
        <w:ind w:right="145"/>
        <w:rPr>
          <w:sz w:val="28"/>
          <w:szCs w:val="28"/>
        </w:rPr>
      </w:pPr>
      <w:r w:rsidRPr="00DB0C6A">
        <w:rPr>
          <w:sz w:val="28"/>
          <w:szCs w:val="28"/>
        </w:rPr>
        <w:t>Do not link disability designation with ability to</w:t>
      </w:r>
      <w:r w:rsidRPr="00DB0C6A">
        <w:rPr>
          <w:spacing w:val="-23"/>
          <w:sz w:val="28"/>
          <w:szCs w:val="28"/>
        </w:rPr>
        <w:t xml:space="preserve"> </w:t>
      </w:r>
      <w:r w:rsidRPr="00DB0C6A">
        <w:rPr>
          <w:sz w:val="28"/>
          <w:szCs w:val="28"/>
        </w:rPr>
        <w:t>earn a living (Problem with</w:t>
      </w:r>
      <w:r w:rsidRPr="00DB0C6A">
        <w:rPr>
          <w:spacing w:val="-25"/>
          <w:sz w:val="28"/>
          <w:szCs w:val="28"/>
        </w:rPr>
        <w:t xml:space="preserve"> </w:t>
      </w:r>
      <w:r w:rsidRPr="00DB0C6A">
        <w:rPr>
          <w:sz w:val="28"/>
          <w:szCs w:val="28"/>
        </w:rPr>
        <w:t>Redetermination). (CD 2)</w:t>
      </w:r>
      <w:r w:rsidR="00DB0C6A">
        <w:rPr>
          <w:sz w:val="28"/>
          <w:szCs w:val="28"/>
        </w:rPr>
        <w:br/>
      </w:r>
    </w:p>
    <w:bookmarkEnd w:id="2"/>
    <w:p w14:paraId="3C0F5083" w14:textId="4B43E61C" w:rsidR="00A33D87" w:rsidRPr="00DB0C6A" w:rsidRDefault="00BF7FEE" w:rsidP="00A33D87">
      <w:pPr>
        <w:pStyle w:val="ListParagraph"/>
        <w:numPr>
          <w:ilvl w:val="0"/>
          <w:numId w:val="1"/>
        </w:numPr>
        <w:rPr>
          <w:b/>
          <w:bCs/>
          <w:sz w:val="28"/>
          <w:szCs w:val="28"/>
        </w:rPr>
      </w:pPr>
      <w:r w:rsidRPr="00DB0C6A">
        <w:rPr>
          <w:b/>
          <w:bCs/>
          <w:sz w:val="28"/>
          <w:szCs w:val="28"/>
        </w:rPr>
        <w:t xml:space="preserve">Change Title II Trial Period to be </w:t>
      </w:r>
      <w:r w:rsidR="00A43B81" w:rsidRPr="00DB0C6A">
        <w:rPr>
          <w:b/>
          <w:bCs/>
          <w:sz w:val="28"/>
          <w:szCs w:val="28"/>
        </w:rPr>
        <w:t>consecutive</w:t>
      </w:r>
      <w:r w:rsidR="00A43B81">
        <w:rPr>
          <w:b/>
          <w:bCs/>
          <w:sz w:val="28"/>
          <w:szCs w:val="28"/>
        </w:rPr>
        <w:t xml:space="preserve"> months. Prevent triggering success that has not be achieved.</w:t>
      </w:r>
    </w:p>
    <w:p w14:paraId="61A0AE84" w14:textId="44F608B6" w:rsidR="00BF7FEE" w:rsidRPr="00DB0C6A" w:rsidRDefault="00BF7FEE" w:rsidP="00BF7FEE">
      <w:pPr>
        <w:pStyle w:val="TableParagraph"/>
        <w:numPr>
          <w:ilvl w:val="1"/>
          <w:numId w:val="1"/>
        </w:numPr>
        <w:tabs>
          <w:tab w:val="left" w:pos="463"/>
          <w:tab w:val="left" w:pos="464"/>
        </w:tabs>
        <w:ind w:right="1430"/>
        <w:rPr>
          <w:sz w:val="28"/>
          <w:szCs w:val="28"/>
        </w:rPr>
      </w:pPr>
      <w:bookmarkStart w:id="3" w:name="wi16"/>
      <w:r w:rsidRPr="00DB0C6A">
        <w:rPr>
          <w:sz w:val="28"/>
          <w:szCs w:val="28"/>
        </w:rPr>
        <w:lastRenderedPageBreak/>
        <w:t xml:space="preserve">Modify Title II </w:t>
      </w:r>
      <w:r w:rsidRPr="00DB0C6A">
        <w:rPr>
          <w:spacing w:val="-3"/>
          <w:sz w:val="28"/>
          <w:szCs w:val="28"/>
        </w:rPr>
        <w:t xml:space="preserve">Trial </w:t>
      </w:r>
      <w:r w:rsidRPr="00DB0C6A">
        <w:rPr>
          <w:sz w:val="28"/>
          <w:szCs w:val="28"/>
        </w:rPr>
        <w:t>Period/Extended Period</w:t>
      </w:r>
      <w:r w:rsidRPr="00DB0C6A">
        <w:rPr>
          <w:spacing w:val="-18"/>
          <w:sz w:val="28"/>
          <w:szCs w:val="28"/>
        </w:rPr>
        <w:t xml:space="preserve"> </w:t>
      </w:r>
      <w:r w:rsidRPr="00DB0C6A">
        <w:rPr>
          <w:sz w:val="28"/>
          <w:szCs w:val="28"/>
        </w:rPr>
        <w:t>of Eligibility</w:t>
      </w:r>
      <w:r w:rsidRPr="00DB0C6A">
        <w:rPr>
          <w:spacing w:val="-16"/>
          <w:sz w:val="28"/>
          <w:szCs w:val="28"/>
        </w:rPr>
        <w:t xml:space="preserve"> </w:t>
      </w:r>
      <w:r w:rsidRPr="00DB0C6A">
        <w:rPr>
          <w:sz w:val="28"/>
          <w:szCs w:val="28"/>
        </w:rPr>
        <w:t xml:space="preserve">Frameworks by </w:t>
      </w:r>
      <w:r w:rsidRPr="00DB0C6A">
        <w:rPr>
          <w:spacing w:val="-3"/>
          <w:sz w:val="28"/>
          <w:szCs w:val="28"/>
        </w:rPr>
        <w:t xml:space="preserve">making the nine-month trial work period consecutive versus </w:t>
      </w:r>
      <w:r w:rsidRPr="00DB0C6A">
        <w:rPr>
          <w:sz w:val="28"/>
          <w:szCs w:val="28"/>
        </w:rPr>
        <w:t>nonconsecutive</w:t>
      </w:r>
      <w:r w:rsidRPr="00DB0C6A">
        <w:rPr>
          <w:spacing w:val="-10"/>
          <w:sz w:val="28"/>
          <w:szCs w:val="28"/>
        </w:rPr>
        <w:t xml:space="preserve"> </w:t>
      </w:r>
      <w:r w:rsidRPr="00DB0C6A">
        <w:rPr>
          <w:sz w:val="28"/>
          <w:szCs w:val="28"/>
        </w:rPr>
        <w:t>earnings. (WI 16)</w:t>
      </w:r>
      <w:r w:rsidR="00DB0C6A">
        <w:rPr>
          <w:sz w:val="28"/>
          <w:szCs w:val="28"/>
        </w:rPr>
        <w:br/>
      </w:r>
    </w:p>
    <w:bookmarkEnd w:id="3"/>
    <w:p w14:paraId="329077CC" w14:textId="1F906955" w:rsidR="00A33D87" w:rsidRPr="00DB0C6A" w:rsidRDefault="00DB0C6A" w:rsidP="00A33D87">
      <w:pPr>
        <w:pStyle w:val="ListParagraph"/>
        <w:numPr>
          <w:ilvl w:val="0"/>
          <w:numId w:val="1"/>
        </w:numPr>
        <w:rPr>
          <w:b/>
          <w:bCs/>
          <w:sz w:val="28"/>
          <w:szCs w:val="28"/>
        </w:rPr>
      </w:pPr>
      <w:r>
        <w:rPr>
          <w:b/>
          <w:bCs/>
          <w:sz w:val="28"/>
          <w:szCs w:val="28"/>
        </w:rPr>
        <w:t xml:space="preserve">Implement </w:t>
      </w:r>
      <w:r w:rsidR="00A33D87" w:rsidRPr="00DB0C6A">
        <w:rPr>
          <w:b/>
          <w:bCs/>
          <w:sz w:val="28"/>
          <w:szCs w:val="28"/>
        </w:rPr>
        <w:t>Case Management Tracking System</w:t>
      </w:r>
      <w:r w:rsidR="00A43B81">
        <w:rPr>
          <w:b/>
          <w:bCs/>
          <w:sz w:val="28"/>
          <w:szCs w:val="28"/>
        </w:rPr>
        <w:t>. Improve beneficiary satisfaction. Lower costs by streamlining problem resolution. Provide better data for managing escalations.</w:t>
      </w:r>
    </w:p>
    <w:p w14:paraId="42D72A65" w14:textId="3F11F2C9" w:rsidR="00BF7FEE" w:rsidRPr="00DB0C6A" w:rsidRDefault="00BF7FEE" w:rsidP="00BF7FEE">
      <w:pPr>
        <w:pStyle w:val="ListParagraph"/>
        <w:numPr>
          <w:ilvl w:val="1"/>
          <w:numId w:val="1"/>
        </w:numPr>
        <w:rPr>
          <w:rFonts w:cs="Times New Roman"/>
          <w:sz w:val="28"/>
          <w:szCs w:val="28"/>
        </w:rPr>
      </w:pPr>
      <w:r w:rsidRPr="00DB0C6A">
        <w:rPr>
          <w:rFonts w:cs="Times New Roman"/>
          <w:sz w:val="28"/>
          <w:szCs w:val="28"/>
        </w:rPr>
        <w:t xml:space="preserve">Establish a problem management system that tracks open issues and timelines (case number) with guaranteed response times. </w:t>
      </w:r>
      <w:hyperlink w:anchor="pr8" w:history="1">
        <w:r w:rsidRPr="00DB0C6A">
          <w:rPr>
            <w:rStyle w:val="Hyperlink"/>
            <w:rFonts w:cs="Times New Roman"/>
            <w:sz w:val="28"/>
            <w:szCs w:val="28"/>
          </w:rPr>
          <w:t>(PR 8)</w:t>
        </w:r>
      </w:hyperlink>
      <w:r w:rsidR="00DB0C6A">
        <w:rPr>
          <w:rStyle w:val="Hyperlink"/>
          <w:rFonts w:cs="Times New Roman"/>
          <w:sz w:val="28"/>
          <w:szCs w:val="28"/>
        </w:rPr>
        <w:br/>
      </w:r>
    </w:p>
    <w:p w14:paraId="36EE61BA" w14:textId="69C6CDE7" w:rsidR="00DB0C6A" w:rsidRDefault="00A33D87" w:rsidP="00DB0C6A">
      <w:pPr>
        <w:pStyle w:val="ListParagraph"/>
        <w:numPr>
          <w:ilvl w:val="0"/>
          <w:numId w:val="1"/>
        </w:numPr>
        <w:rPr>
          <w:b/>
          <w:bCs/>
          <w:sz w:val="28"/>
          <w:szCs w:val="28"/>
        </w:rPr>
      </w:pPr>
      <w:r w:rsidRPr="00DB0C6A">
        <w:rPr>
          <w:b/>
          <w:bCs/>
          <w:sz w:val="28"/>
          <w:szCs w:val="28"/>
        </w:rPr>
        <w:t>Hot Line for help with IDD</w:t>
      </w:r>
      <w:r w:rsidR="00A43B81">
        <w:rPr>
          <w:b/>
          <w:bCs/>
          <w:sz w:val="28"/>
          <w:szCs w:val="28"/>
        </w:rPr>
        <w:t>. Improve beneficiary satisfaction. Reduce problems by having more timely responses to questions.</w:t>
      </w:r>
    </w:p>
    <w:p w14:paraId="51E6AAD0" w14:textId="61B34F19" w:rsidR="00DB0C6A" w:rsidRPr="00DB0C6A" w:rsidRDefault="00DB0C6A" w:rsidP="00DB0C6A">
      <w:pPr>
        <w:pStyle w:val="ListParagraph"/>
        <w:numPr>
          <w:ilvl w:val="1"/>
          <w:numId w:val="1"/>
        </w:numPr>
        <w:rPr>
          <w:b/>
          <w:bCs/>
          <w:sz w:val="28"/>
          <w:szCs w:val="28"/>
        </w:rPr>
      </w:pPr>
      <w:r w:rsidRPr="00DB0C6A">
        <w:rPr>
          <w:rFonts w:cs="Times New Roman"/>
          <w:sz w:val="28"/>
          <w:szCs w:val="28"/>
        </w:rPr>
        <w:t xml:space="preserve">SSA Hot Line for SSI/Title II questions. </w:t>
      </w:r>
      <w:hyperlink w:anchor="pr12" w:history="1">
        <w:r w:rsidRPr="00DB0C6A">
          <w:rPr>
            <w:rStyle w:val="Hyperlink"/>
            <w:rFonts w:cs="Times New Roman"/>
            <w:sz w:val="28"/>
            <w:szCs w:val="28"/>
          </w:rPr>
          <w:t>(PR 12)</w:t>
        </w:r>
      </w:hyperlink>
    </w:p>
    <w:p w14:paraId="65358971" w14:textId="77777777" w:rsidR="00DB0C6A" w:rsidRDefault="00DB0C6A" w:rsidP="00DB0C6A">
      <w:pPr>
        <w:pStyle w:val="ListParagraph"/>
      </w:pPr>
    </w:p>
    <w:p w14:paraId="2790AB89" w14:textId="77777777" w:rsidR="00C83B2A" w:rsidRDefault="00C83B2A"/>
    <w:sectPr w:rsidR="00C83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C02AD"/>
    <w:multiLevelType w:val="hybridMultilevel"/>
    <w:tmpl w:val="9BA0DCE6"/>
    <w:lvl w:ilvl="0" w:tplc="F73C64F0">
      <w:numFmt w:val="bullet"/>
      <w:lvlText w:val=""/>
      <w:lvlJc w:val="left"/>
      <w:pPr>
        <w:ind w:left="446" w:hanging="344"/>
      </w:pPr>
      <w:rPr>
        <w:rFonts w:ascii="Wingdings" w:eastAsia="Wingdings" w:hAnsi="Wingdings" w:cs="Wingdings" w:hint="default"/>
        <w:w w:val="100"/>
        <w:sz w:val="24"/>
        <w:szCs w:val="24"/>
      </w:rPr>
    </w:lvl>
    <w:lvl w:ilvl="1" w:tplc="E9A88AB4">
      <w:numFmt w:val="bullet"/>
      <w:lvlText w:val="•"/>
      <w:lvlJc w:val="left"/>
      <w:pPr>
        <w:ind w:left="962" w:hanging="344"/>
      </w:pPr>
      <w:rPr>
        <w:rFonts w:hint="default"/>
      </w:rPr>
    </w:lvl>
    <w:lvl w:ilvl="2" w:tplc="A6323D96">
      <w:numFmt w:val="bullet"/>
      <w:lvlText w:val="•"/>
      <w:lvlJc w:val="left"/>
      <w:pPr>
        <w:ind w:left="1484" w:hanging="344"/>
      </w:pPr>
      <w:rPr>
        <w:rFonts w:hint="default"/>
      </w:rPr>
    </w:lvl>
    <w:lvl w:ilvl="3" w:tplc="02CEE81E">
      <w:numFmt w:val="bullet"/>
      <w:lvlText w:val="•"/>
      <w:lvlJc w:val="left"/>
      <w:pPr>
        <w:ind w:left="2006" w:hanging="344"/>
      </w:pPr>
      <w:rPr>
        <w:rFonts w:hint="default"/>
      </w:rPr>
    </w:lvl>
    <w:lvl w:ilvl="4" w:tplc="7D325496">
      <w:numFmt w:val="bullet"/>
      <w:lvlText w:val="•"/>
      <w:lvlJc w:val="left"/>
      <w:pPr>
        <w:ind w:left="2528" w:hanging="344"/>
      </w:pPr>
      <w:rPr>
        <w:rFonts w:hint="default"/>
      </w:rPr>
    </w:lvl>
    <w:lvl w:ilvl="5" w:tplc="5F4A26A2">
      <w:numFmt w:val="bullet"/>
      <w:lvlText w:val="•"/>
      <w:lvlJc w:val="left"/>
      <w:pPr>
        <w:ind w:left="3050" w:hanging="344"/>
      </w:pPr>
      <w:rPr>
        <w:rFonts w:hint="default"/>
      </w:rPr>
    </w:lvl>
    <w:lvl w:ilvl="6" w:tplc="95B0FD6C">
      <w:numFmt w:val="bullet"/>
      <w:lvlText w:val="•"/>
      <w:lvlJc w:val="left"/>
      <w:pPr>
        <w:ind w:left="3572" w:hanging="344"/>
      </w:pPr>
      <w:rPr>
        <w:rFonts w:hint="default"/>
      </w:rPr>
    </w:lvl>
    <w:lvl w:ilvl="7" w:tplc="D722F30C">
      <w:numFmt w:val="bullet"/>
      <w:lvlText w:val="•"/>
      <w:lvlJc w:val="left"/>
      <w:pPr>
        <w:ind w:left="4095" w:hanging="344"/>
      </w:pPr>
      <w:rPr>
        <w:rFonts w:hint="default"/>
      </w:rPr>
    </w:lvl>
    <w:lvl w:ilvl="8" w:tplc="CCFEA950">
      <w:numFmt w:val="bullet"/>
      <w:lvlText w:val="•"/>
      <w:lvlJc w:val="left"/>
      <w:pPr>
        <w:ind w:left="4617" w:hanging="344"/>
      </w:pPr>
      <w:rPr>
        <w:rFonts w:hint="default"/>
      </w:rPr>
    </w:lvl>
  </w:abstractNum>
  <w:abstractNum w:abstractNumId="1" w15:restartNumberingAfterBreak="0">
    <w:nsid w:val="435D7FCC"/>
    <w:multiLevelType w:val="hybridMultilevel"/>
    <w:tmpl w:val="F1223E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5E1787"/>
    <w:multiLevelType w:val="hybridMultilevel"/>
    <w:tmpl w:val="E9FAE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1C4B"/>
    <w:multiLevelType w:val="hybridMultilevel"/>
    <w:tmpl w:val="1F7AD1A2"/>
    <w:lvl w:ilvl="0" w:tplc="BB1A684C">
      <w:numFmt w:val="bullet"/>
      <w:lvlText w:val=""/>
      <w:lvlJc w:val="left"/>
      <w:pPr>
        <w:ind w:left="463" w:hanging="360"/>
      </w:pPr>
      <w:rPr>
        <w:rFonts w:ascii="Wingdings" w:eastAsia="Wingdings" w:hAnsi="Wingdings" w:cs="Wingdings" w:hint="default"/>
        <w:w w:val="100"/>
        <w:sz w:val="24"/>
        <w:szCs w:val="24"/>
      </w:rPr>
    </w:lvl>
    <w:lvl w:ilvl="1" w:tplc="8F02D7A2">
      <w:numFmt w:val="bullet"/>
      <w:lvlText w:val="•"/>
      <w:lvlJc w:val="left"/>
      <w:pPr>
        <w:ind w:left="980" w:hanging="360"/>
      </w:pPr>
      <w:rPr>
        <w:rFonts w:hint="default"/>
      </w:rPr>
    </w:lvl>
    <w:lvl w:ilvl="2" w:tplc="253E4406">
      <w:numFmt w:val="bullet"/>
      <w:lvlText w:val="•"/>
      <w:lvlJc w:val="left"/>
      <w:pPr>
        <w:ind w:left="1500" w:hanging="360"/>
      </w:pPr>
      <w:rPr>
        <w:rFonts w:hint="default"/>
      </w:rPr>
    </w:lvl>
    <w:lvl w:ilvl="3" w:tplc="00F04F7A">
      <w:numFmt w:val="bullet"/>
      <w:lvlText w:val="•"/>
      <w:lvlJc w:val="left"/>
      <w:pPr>
        <w:ind w:left="2020" w:hanging="360"/>
      </w:pPr>
      <w:rPr>
        <w:rFonts w:hint="default"/>
      </w:rPr>
    </w:lvl>
    <w:lvl w:ilvl="4" w:tplc="7BD4E262">
      <w:numFmt w:val="bullet"/>
      <w:lvlText w:val="•"/>
      <w:lvlJc w:val="left"/>
      <w:pPr>
        <w:ind w:left="2540" w:hanging="360"/>
      </w:pPr>
      <w:rPr>
        <w:rFonts w:hint="default"/>
      </w:rPr>
    </w:lvl>
    <w:lvl w:ilvl="5" w:tplc="6A26D646">
      <w:numFmt w:val="bullet"/>
      <w:lvlText w:val="•"/>
      <w:lvlJc w:val="left"/>
      <w:pPr>
        <w:ind w:left="3060" w:hanging="360"/>
      </w:pPr>
      <w:rPr>
        <w:rFonts w:hint="default"/>
      </w:rPr>
    </w:lvl>
    <w:lvl w:ilvl="6" w:tplc="C706ACFA">
      <w:numFmt w:val="bullet"/>
      <w:lvlText w:val="•"/>
      <w:lvlJc w:val="left"/>
      <w:pPr>
        <w:ind w:left="3580" w:hanging="360"/>
      </w:pPr>
      <w:rPr>
        <w:rFonts w:hint="default"/>
      </w:rPr>
    </w:lvl>
    <w:lvl w:ilvl="7" w:tplc="A3F45CF0">
      <w:numFmt w:val="bullet"/>
      <w:lvlText w:val="•"/>
      <w:lvlJc w:val="left"/>
      <w:pPr>
        <w:ind w:left="4101" w:hanging="360"/>
      </w:pPr>
      <w:rPr>
        <w:rFonts w:hint="default"/>
      </w:rPr>
    </w:lvl>
    <w:lvl w:ilvl="8" w:tplc="EF5E7946">
      <w:numFmt w:val="bullet"/>
      <w:lvlText w:val="•"/>
      <w:lvlJc w:val="left"/>
      <w:pPr>
        <w:ind w:left="4621" w:hanging="360"/>
      </w:pPr>
      <w:rPr>
        <w:rFonts w:hint="default"/>
      </w:rPr>
    </w:lvl>
  </w:abstractNum>
  <w:abstractNum w:abstractNumId="4" w15:restartNumberingAfterBreak="0">
    <w:nsid w:val="738635F3"/>
    <w:multiLevelType w:val="hybridMultilevel"/>
    <w:tmpl w:val="DE6A2E14"/>
    <w:lvl w:ilvl="0" w:tplc="3D041748">
      <w:numFmt w:val="bullet"/>
      <w:lvlText w:val=""/>
      <w:lvlJc w:val="left"/>
      <w:pPr>
        <w:ind w:left="446" w:hanging="360"/>
      </w:pPr>
      <w:rPr>
        <w:rFonts w:ascii="Wingdings" w:eastAsia="Wingdings" w:hAnsi="Wingdings" w:cs="Wingdings" w:hint="default"/>
        <w:w w:val="100"/>
        <w:sz w:val="24"/>
        <w:szCs w:val="24"/>
      </w:rPr>
    </w:lvl>
    <w:lvl w:ilvl="1" w:tplc="8508038A">
      <w:numFmt w:val="bullet"/>
      <w:lvlText w:val="•"/>
      <w:lvlJc w:val="left"/>
      <w:pPr>
        <w:ind w:left="962" w:hanging="360"/>
      </w:pPr>
      <w:rPr>
        <w:rFonts w:hint="default"/>
      </w:rPr>
    </w:lvl>
    <w:lvl w:ilvl="2" w:tplc="39828E24">
      <w:numFmt w:val="bullet"/>
      <w:lvlText w:val="•"/>
      <w:lvlJc w:val="left"/>
      <w:pPr>
        <w:ind w:left="1484" w:hanging="360"/>
      </w:pPr>
      <w:rPr>
        <w:rFonts w:hint="default"/>
      </w:rPr>
    </w:lvl>
    <w:lvl w:ilvl="3" w:tplc="95903042">
      <w:numFmt w:val="bullet"/>
      <w:lvlText w:val="•"/>
      <w:lvlJc w:val="left"/>
      <w:pPr>
        <w:ind w:left="2006" w:hanging="360"/>
      </w:pPr>
      <w:rPr>
        <w:rFonts w:hint="default"/>
      </w:rPr>
    </w:lvl>
    <w:lvl w:ilvl="4" w:tplc="BA0CE600">
      <w:numFmt w:val="bullet"/>
      <w:lvlText w:val="•"/>
      <w:lvlJc w:val="left"/>
      <w:pPr>
        <w:ind w:left="2528" w:hanging="360"/>
      </w:pPr>
      <w:rPr>
        <w:rFonts w:hint="default"/>
      </w:rPr>
    </w:lvl>
    <w:lvl w:ilvl="5" w:tplc="4D984764">
      <w:numFmt w:val="bullet"/>
      <w:lvlText w:val="•"/>
      <w:lvlJc w:val="left"/>
      <w:pPr>
        <w:ind w:left="3050" w:hanging="360"/>
      </w:pPr>
      <w:rPr>
        <w:rFonts w:hint="default"/>
      </w:rPr>
    </w:lvl>
    <w:lvl w:ilvl="6" w:tplc="1A023378">
      <w:numFmt w:val="bullet"/>
      <w:lvlText w:val="•"/>
      <w:lvlJc w:val="left"/>
      <w:pPr>
        <w:ind w:left="3572" w:hanging="360"/>
      </w:pPr>
      <w:rPr>
        <w:rFonts w:hint="default"/>
      </w:rPr>
    </w:lvl>
    <w:lvl w:ilvl="7" w:tplc="E99E0D5C">
      <w:numFmt w:val="bullet"/>
      <w:lvlText w:val="•"/>
      <w:lvlJc w:val="left"/>
      <w:pPr>
        <w:ind w:left="4095" w:hanging="360"/>
      </w:pPr>
      <w:rPr>
        <w:rFonts w:hint="default"/>
      </w:rPr>
    </w:lvl>
    <w:lvl w:ilvl="8" w:tplc="D0CA94DE">
      <w:numFmt w:val="bullet"/>
      <w:lvlText w:val="•"/>
      <w:lvlJc w:val="left"/>
      <w:pPr>
        <w:ind w:left="4617" w:hanging="360"/>
      </w:pPr>
      <w:rPr>
        <w:rFonts w:hint="default"/>
      </w:rPr>
    </w:lvl>
  </w:abstractNum>
  <w:abstractNum w:abstractNumId="5" w15:restartNumberingAfterBreak="0">
    <w:nsid w:val="74664292"/>
    <w:multiLevelType w:val="hybridMultilevel"/>
    <w:tmpl w:val="44C6C7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9633148">
    <w:abstractNumId w:val="2"/>
  </w:num>
  <w:num w:numId="2" w16cid:durableId="62460454">
    <w:abstractNumId w:val="5"/>
  </w:num>
  <w:num w:numId="3" w16cid:durableId="978732591">
    <w:abstractNumId w:val="1"/>
  </w:num>
  <w:num w:numId="4" w16cid:durableId="1838037936">
    <w:abstractNumId w:val="4"/>
  </w:num>
  <w:num w:numId="5" w16cid:durableId="2040738537">
    <w:abstractNumId w:val="0"/>
  </w:num>
  <w:num w:numId="6" w16cid:durableId="294406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87"/>
    <w:rsid w:val="005C3906"/>
    <w:rsid w:val="00A33D87"/>
    <w:rsid w:val="00A43B81"/>
    <w:rsid w:val="00B40982"/>
    <w:rsid w:val="00BF7FEE"/>
    <w:rsid w:val="00C83B2A"/>
    <w:rsid w:val="00CB0534"/>
    <w:rsid w:val="00CD1ED5"/>
    <w:rsid w:val="00DB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3903"/>
  <w15:chartTrackingRefBased/>
  <w15:docId w15:val="{3A605865-7D4F-464B-84C7-5C18BB1D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87"/>
    <w:pPr>
      <w:ind w:left="720"/>
      <w:contextualSpacing/>
    </w:pPr>
  </w:style>
  <w:style w:type="character" w:styleId="Hyperlink">
    <w:name w:val="Hyperlink"/>
    <w:basedOn w:val="DefaultParagraphFont"/>
    <w:uiPriority w:val="99"/>
    <w:unhideWhenUsed/>
    <w:rsid w:val="00A33D87"/>
    <w:rPr>
      <w:color w:val="0563C1" w:themeColor="hyperlink"/>
      <w:u w:val="single"/>
    </w:rPr>
  </w:style>
  <w:style w:type="table" w:styleId="TableGrid">
    <w:name w:val="Table Grid"/>
    <w:basedOn w:val="TableNormal"/>
    <w:uiPriority w:val="39"/>
    <w:rsid w:val="00A3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F7FEE"/>
    <w:pPr>
      <w:widowControl w:val="0"/>
      <w:autoSpaceDE w:val="0"/>
      <w:autoSpaceDN w:val="0"/>
      <w:spacing w:after="0" w:line="240" w:lineRule="auto"/>
      <w:ind w:left="10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sa.gov/disability/professionals/bluebook/ChildhoodListing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Uttal</dc:creator>
  <cp:keywords/>
  <dc:description/>
  <cp:lastModifiedBy>Linda ONeal</cp:lastModifiedBy>
  <cp:revision>2</cp:revision>
  <dcterms:created xsi:type="dcterms:W3CDTF">2023-04-11T19:06:00Z</dcterms:created>
  <dcterms:modified xsi:type="dcterms:W3CDTF">2023-04-11T19:06:00Z</dcterms:modified>
</cp:coreProperties>
</file>