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7904" w14:textId="2B2003EE" w:rsidR="006D5775" w:rsidRPr="006D5775" w:rsidRDefault="006D5775" w:rsidP="006D5775">
      <w:pPr>
        <w:shd w:val="clear" w:color="auto" w:fill="FFFFFF"/>
        <w:spacing w:after="0" w:line="240" w:lineRule="auto"/>
        <w:rPr>
          <w:rFonts w:ascii="Arial" w:eastAsia="Times New Roman" w:hAnsi="Arial" w:cs="Times New Roman"/>
          <w:color w:val="000000"/>
          <w:kern w:val="0"/>
          <w:sz w:val="21"/>
          <w:szCs w:val="21"/>
          <w14:ligatures w14:val="none"/>
        </w:rPr>
      </w:pPr>
      <w:r>
        <w:rPr>
          <w:noProof/>
        </w:rPr>
        <w:drawing>
          <wp:anchor distT="0" distB="0" distL="114300" distR="114300" simplePos="0" relativeHeight="251658240" behindDoc="0" locked="0" layoutInCell="1" allowOverlap="1" wp14:anchorId="23F763F2" wp14:editId="21B607BA">
            <wp:simplePos x="0" y="0"/>
            <wp:positionH relativeFrom="column">
              <wp:posOffset>3590925</wp:posOffset>
            </wp:positionH>
            <wp:positionV relativeFrom="paragraph">
              <wp:posOffset>57150</wp:posOffset>
            </wp:positionV>
            <wp:extent cx="2381250" cy="1762125"/>
            <wp:effectExtent l="0" t="0" r="0" b="952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1250" cy="1762125"/>
                    </a:xfrm>
                    <a:prstGeom prst="rect">
                      <a:avLst/>
                    </a:prstGeom>
                  </pic:spPr>
                </pic:pic>
              </a:graphicData>
            </a:graphic>
            <wp14:sizeRelH relativeFrom="page">
              <wp14:pctWidth>0</wp14:pctWidth>
            </wp14:sizeRelH>
            <wp14:sizeRelV relativeFrom="page">
              <wp14:pctHeight>0</wp14:pctHeight>
            </wp14:sizeRelV>
          </wp:anchor>
        </w:drawing>
      </w:r>
      <w:r w:rsidRPr="006D5775">
        <w:rPr>
          <w:rFonts w:ascii="Arial" w:eastAsia="Times New Roman" w:hAnsi="Arial" w:cs="Times New Roman"/>
          <w:noProof/>
          <w:color w:val="0000FF"/>
          <w:kern w:val="0"/>
          <w:sz w:val="21"/>
          <w:szCs w:val="21"/>
          <w14:ligatures w14:val="none"/>
        </w:rPr>
        <w:drawing>
          <wp:inline distT="0" distB="0" distL="0" distR="0" wp14:anchorId="1F5BAAA7" wp14:editId="1AAE8969">
            <wp:extent cx="2419350" cy="533400"/>
            <wp:effectExtent l="0" t="0" r="0" b="0"/>
            <wp:docPr id="1" name="Picture 1" descr="Career Outlook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Outlook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33400"/>
                    </a:xfrm>
                    <a:prstGeom prst="rect">
                      <a:avLst/>
                    </a:prstGeom>
                    <a:noFill/>
                    <a:ln>
                      <a:noFill/>
                    </a:ln>
                  </pic:spPr>
                </pic:pic>
              </a:graphicData>
            </a:graphic>
          </wp:inline>
        </w:drawing>
      </w:r>
    </w:p>
    <w:p w14:paraId="18DD1D16" w14:textId="67D0E8B4" w:rsidR="006D5775" w:rsidRPr="006D5775" w:rsidRDefault="006D5775" w:rsidP="006D5775">
      <w:pPr>
        <w:pBdr>
          <w:bottom w:val="single" w:sz="6" w:space="1" w:color="auto"/>
        </w:pBdr>
        <w:spacing w:after="0" w:line="240" w:lineRule="auto"/>
        <w:jc w:val="center"/>
        <w:rPr>
          <w:rFonts w:ascii="Arial" w:eastAsia="Times New Roman" w:hAnsi="Arial" w:cs="Arial"/>
          <w:vanish/>
          <w:kern w:val="0"/>
          <w:sz w:val="16"/>
          <w:szCs w:val="16"/>
          <w14:ligatures w14:val="none"/>
        </w:rPr>
      </w:pPr>
      <w:r w:rsidRPr="006D5775">
        <w:rPr>
          <w:rFonts w:ascii="Arial" w:eastAsia="Times New Roman" w:hAnsi="Arial" w:cs="Arial"/>
          <w:vanish/>
          <w:kern w:val="0"/>
          <w:sz w:val="16"/>
          <w:szCs w:val="16"/>
          <w14:ligatures w14:val="none"/>
        </w:rPr>
        <w:t>Top of Form</w:t>
      </w:r>
    </w:p>
    <w:p w14:paraId="75B199D9" w14:textId="4C1A61A0" w:rsidR="006D5775" w:rsidRPr="006D5775" w:rsidRDefault="006D5775" w:rsidP="006D5775">
      <w:pPr>
        <w:shd w:val="clear" w:color="auto" w:fill="FFFFFF"/>
        <w:spacing w:before="450" w:after="0" w:line="240" w:lineRule="auto"/>
        <w:rPr>
          <w:rFonts w:ascii="Arial" w:eastAsia="Times New Roman" w:hAnsi="Arial" w:cs="Times New Roman"/>
          <w:color w:val="000000"/>
          <w:kern w:val="0"/>
          <w:sz w:val="21"/>
          <w:szCs w:val="21"/>
          <w14:ligatures w14:val="none"/>
        </w:rPr>
      </w:pPr>
      <w:r w:rsidRPr="006D5775">
        <w:rPr>
          <w:rFonts w:ascii="Arial" w:eastAsia="Times New Roman" w:hAnsi="Arial" w:cs="Times New Roman"/>
          <w:color w:val="000000"/>
          <w:kern w:val="0"/>
          <w:sz w:val="21"/>
          <w:szCs w:val="21"/>
          <w14:ligatures w14:val="none"/>
        </w:rPr>
        <w:object w:dxaOrig="1440" w:dyaOrig="1440" w14:anchorId="7F2A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8pt" o:ole="">
            <v:imagedata r:id="rId8" o:title=""/>
          </v:shape>
          <w:control r:id="rId9" w:name="DefaultOcxName" w:shapeid="_x0000_i1030"/>
        </w:object>
      </w:r>
      <w:r w:rsidRPr="006D5775">
        <w:rPr>
          <w:rFonts w:ascii="Arial" w:eastAsia="Times New Roman" w:hAnsi="Arial" w:cs="Times New Roman"/>
          <w:color w:val="000000"/>
          <w:kern w:val="0"/>
          <w:sz w:val="21"/>
          <w:szCs w:val="21"/>
          <w14:ligatures w14:val="none"/>
        </w:rPr>
        <w:object w:dxaOrig="1440" w:dyaOrig="1440" w14:anchorId="0C9B03D3">
          <v:shape id="_x0000_i1029" type="#_x0000_t75" style="width:23.25pt;height:22.5pt" o:ole="">
            <v:imagedata r:id="rId10" o:title=""/>
          </v:shape>
          <w:control r:id="rId11" w:name="DefaultOcxName1" w:shapeid="_x0000_i1029"/>
        </w:object>
      </w:r>
    </w:p>
    <w:p w14:paraId="39681743" w14:textId="77777777" w:rsidR="006D5775" w:rsidRPr="006D5775" w:rsidRDefault="006D5775" w:rsidP="006D5775">
      <w:pPr>
        <w:pBdr>
          <w:top w:val="single" w:sz="6" w:space="1" w:color="auto"/>
        </w:pBdr>
        <w:spacing w:line="240" w:lineRule="auto"/>
        <w:jc w:val="center"/>
        <w:rPr>
          <w:rFonts w:ascii="Arial" w:eastAsia="Times New Roman" w:hAnsi="Arial" w:cs="Arial"/>
          <w:vanish/>
          <w:kern w:val="0"/>
          <w:sz w:val="16"/>
          <w:szCs w:val="16"/>
          <w14:ligatures w14:val="none"/>
        </w:rPr>
      </w:pPr>
      <w:r w:rsidRPr="006D5775">
        <w:rPr>
          <w:rFonts w:ascii="Arial" w:eastAsia="Times New Roman" w:hAnsi="Arial" w:cs="Arial"/>
          <w:vanish/>
          <w:kern w:val="0"/>
          <w:sz w:val="16"/>
          <w:szCs w:val="16"/>
          <w14:ligatures w14:val="none"/>
        </w:rPr>
        <w:t>Bottom of Form</w:t>
      </w:r>
    </w:p>
    <w:p w14:paraId="695141E0" w14:textId="77777777" w:rsidR="006D5775" w:rsidRPr="006D5775" w:rsidRDefault="006D5775" w:rsidP="006D5775">
      <w:pPr>
        <w:shd w:val="clear" w:color="auto" w:fill="FFFFFF"/>
        <w:spacing w:after="0" w:line="240" w:lineRule="auto"/>
        <w:textAlignment w:val="top"/>
        <w:rPr>
          <w:rFonts w:ascii="Arial" w:eastAsia="Times New Roman" w:hAnsi="Arial" w:cs="Arial"/>
          <w:color w:val="000000"/>
          <w:kern w:val="0"/>
          <w:sz w:val="21"/>
          <w:szCs w:val="21"/>
          <w14:ligatures w14:val="none"/>
        </w:rPr>
      </w:pPr>
      <w:r w:rsidRPr="006D5775">
        <w:rPr>
          <w:rFonts w:ascii="Arial" w:eastAsia="Times New Roman" w:hAnsi="Arial" w:cs="Arial"/>
          <w:noProof/>
          <w:color w:val="0000FF"/>
          <w:kern w:val="0"/>
          <w:sz w:val="21"/>
          <w:szCs w:val="21"/>
          <w14:ligatures w14:val="none"/>
        </w:rPr>
        <w:drawing>
          <wp:inline distT="0" distB="0" distL="0" distR="0" wp14:anchorId="34DA3239" wp14:editId="31C58D93">
            <wp:extent cx="800100" cy="714375"/>
            <wp:effectExtent l="0" t="0" r="0" b="9525"/>
            <wp:docPr id="2" name="Picture 2" descr="data on display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on display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p w14:paraId="77DDFC49" w14:textId="77777777" w:rsidR="006D5775" w:rsidRPr="006D5775" w:rsidRDefault="006D5775" w:rsidP="006D5775">
      <w:pPr>
        <w:shd w:val="clear" w:color="auto" w:fill="FFFFFF"/>
        <w:spacing w:after="0" w:line="240" w:lineRule="auto"/>
        <w:textAlignment w:val="top"/>
        <w:outlineLvl w:val="1"/>
        <w:rPr>
          <w:rFonts w:ascii="Arial" w:eastAsia="Times New Roman" w:hAnsi="Arial" w:cs="Arial"/>
          <w:b/>
          <w:bCs/>
          <w:color w:val="000000"/>
          <w:kern w:val="0"/>
          <w:sz w:val="32"/>
          <w:szCs w:val="32"/>
          <w14:ligatures w14:val="none"/>
        </w:rPr>
      </w:pPr>
      <w:r w:rsidRPr="006D5775">
        <w:rPr>
          <w:rFonts w:ascii="Arial" w:eastAsia="Times New Roman" w:hAnsi="Arial" w:cs="Arial"/>
          <w:b/>
          <w:bCs/>
          <w:color w:val="59479D"/>
          <w:kern w:val="0"/>
          <w:sz w:val="30"/>
          <w:szCs w:val="30"/>
          <w14:ligatures w14:val="none"/>
        </w:rPr>
        <w:t>Data on display</w:t>
      </w:r>
      <w:r w:rsidRPr="006D5775">
        <w:rPr>
          <w:rFonts w:ascii="Arial" w:eastAsia="Times New Roman" w:hAnsi="Arial" w:cs="Arial"/>
          <w:b/>
          <w:bCs/>
          <w:color w:val="000000"/>
          <w:kern w:val="0"/>
          <w:sz w:val="51"/>
          <w:szCs w:val="51"/>
          <w14:ligatures w14:val="none"/>
        </w:rPr>
        <w:br/>
      </w:r>
      <w:r w:rsidRPr="006D5775">
        <w:rPr>
          <w:rFonts w:ascii="Arial" w:eastAsia="Times New Roman" w:hAnsi="Arial" w:cs="Arial"/>
          <w:b/>
          <w:bCs/>
          <w:color w:val="000000"/>
          <w:kern w:val="0"/>
          <w:sz w:val="32"/>
          <w:szCs w:val="32"/>
          <w14:ligatures w14:val="none"/>
        </w:rPr>
        <w:t>Good wages for green work: High-paying careers with an environmental focus</w:t>
      </w:r>
    </w:p>
    <w:p w14:paraId="190F0AC5" w14:textId="2A4B21CA" w:rsidR="006D5775" w:rsidRPr="006D5775" w:rsidRDefault="006D5775" w:rsidP="006D5775">
      <w:pPr>
        <w:shd w:val="clear" w:color="auto" w:fill="FFFFFF"/>
        <w:spacing w:after="0" w:line="240" w:lineRule="auto"/>
        <w:textAlignment w:val="top"/>
        <w:outlineLvl w:val="1"/>
        <w:rPr>
          <w:rFonts w:ascii="Arial" w:eastAsia="Times New Roman" w:hAnsi="Arial" w:cs="Arial"/>
          <w:b/>
          <w:bCs/>
          <w:color w:val="000000"/>
          <w:kern w:val="0"/>
          <w:sz w:val="51"/>
          <w:szCs w:val="51"/>
          <w14:ligatures w14:val="none"/>
        </w:rPr>
      </w:pPr>
      <w:hyperlink r:id="rId14" w:history="1">
        <w:r>
          <w:rPr>
            <w:rStyle w:val="Hyperlink"/>
          </w:rPr>
          <w:t>Good wages for green work: High-paying careers with an environmental focus : Career Outlook: U.S. Bureau of Labor Statistics (bls.gov)</w:t>
        </w:r>
      </w:hyperlink>
    </w:p>
    <w:p w14:paraId="0D7D020F" w14:textId="77777777" w:rsidR="006D5775" w:rsidRPr="006D5775" w:rsidRDefault="006D5775" w:rsidP="006D5775">
      <w:pPr>
        <w:shd w:val="clear" w:color="auto" w:fill="FFFFFF"/>
        <w:spacing w:after="0" w:line="384" w:lineRule="atLeast"/>
        <w:ind w:left="1605"/>
        <w:textAlignment w:val="top"/>
        <w:rPr>
          <w:rFonts w:ascii="Tahoma" w:eastAsia="Times New Roman" w:hAnsi="Tahoma" w:cs="Tahoma"/>
          <w:color w:val="333333"/>
          <w:kern w:val="0"/>
          <w:sz w:val="20"/>
          <w:szCs w:val="20"/>
          <w14:ligatures w14:val="none"/>
        </w:rPr>
      </w:pPr>
      <w:proofErr w:type="spellStart"/>
      <w:r w:rsidRPr="006D5775">
        <w:rPr>
          <w:rFonts w:ascii="Tahoma" w:eastAsia="Times New Roman" w:hAnsi="Tahoma" w:cs="Tahoma"/>
          <w:i/>
          <w:iCs/>
          <w:color w:val="666666"/>
          <w:kern w:val="0"/>
          <w:sz w:val="20"/>
          <w:szCs w:val="20"/>
          <w14:ligatures w14:val="none"/>
        </w:rPr>
        <w:t>Stanislava</w:t>
      </w:r>
      <w:proofErr w:type="spellEnd"/>
      <w:r w:rsidRPr="006D5775">
        <w:rPr>
          <w:rFonts w:ascii="Tahoma" w:eastAsia="Times New Roman" w:hAnsi="Tahoma" w:cs="Tahoma"/>
          <w:i/>
          <w:iCs/>
          <w:color w:val="666666"/>
          <w:kern w:val="0"/>
          <w:sz w:val="20"/>
          <w:szCs w:val="20"/>
          <w14:ligatures w14:val="none"/>
        </w:rPr>
        <w:t xml:space="preserve"> Ilic-Godfrey and Patricia Tate</w:t>
      </w:r>
      <w:r w:rsidRPr="006D5775">
        <w:rPr>
          <w:rFonts w:ascii="Tahoma" w:eastAsia="Times New Roman" w:hAnsi="Tahoma" w:cs="Tahoma"/>
          <w:color w:val="333333"/>
          <w:kern w:val="0"/>
          <w:sz w:val="20"/>
          <w:szCs w:val="20"/>
          <w14:ligatures w14:val="none"/>
        </w:rPr>
        <w:t> | </w:t>
      </w:r>
      <w:r w:rsidRPr="006D5775">
        <w:rPr>
          <w:rFonts w:ascii="Tahoma" w:eastAsia="Times New Roman" w:hAnsi="Tahoma" w:cs="Tahoma"/>
          <w:color w:val="666666"/>
          <w:kern w:val="0"/>
          <w:sz w:val="20"/>
          <w:szCs w:val="20"/>
          <w14:ligatures w14:val="none"/>
        </w:rPr>
        <w:t>April 2023</w:t>
      </w:r>
    </w:p>
    <w:p w14:paraId="0FC4AEE0" w14:textId="77777777" w:rsidR="006D5775" w:rsidRP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r w:rsidRPr="006D5775">
        <w:rPr>
          <w:rFonts w:ascii="Tahoma" w:eastAsia="Times New Roman" w:hAnsi="Tahoma" w:cs="Tahoma"/>
          <w:color w:val="333333"/>
          <w:kern w:val="0"/>
          <w:sz w:val="20"/>
          <w:szCs w:val="20"/>
          <w14:ligatures w14:val="none"/>
        </w:rPr>
        <w:t>Good news if you’re considering a green career: there are options that pay well. The chart below shows selected environmentally focused occupations that had a median annual wage above the $45,760 median for all workers in 2021, according to the U.S. Bureau of Labor Statistics. Of the occupations shown, </w:t>
      </w:r>
      <w:hyperlink r:id="rId15" w:history="1">
        <w:r w:rsidRPr="006D5775">
          <w:rPr>
            <w:rFonts w:ascii="Tahoma" w:eastAsia="Times New Roman" w:hAnsi="Tahoma" w:cs="Tahoma"/>
            <w:color w:val="003399"/>
            <w:kern w:val="0"/>
            <w:sz w:val="24"/>
            <w:szCs w:val="24"/>
            <w:u w:val="single"/>
            <w14:ligatures w14:val="none"/>
          </w:rPr>
          <w:t>hydrologists</w:t>
        </w:r>
      </w:hyperlink>
      <w:r w:rsidRPr="006D5775">
        <w:rPr>
          <w:rFonts w:ascii="Tahoma" w:eastAsia="Times New Roman" w:hAnsi="Tahoma" w:cs="Tahoma"/>
          <w:color w:val="333333"/>
          <w:kern w:val="0"/>
          <w:sz w:val="20"/>
          <w:szCs w:val="20"/>
          <w14:ligatures w14:val="none"/>
        </w:rPr>
        <w:t>—who study how water moves across and through the Earth’s crust—had the highest median annual wage, $84,030 in 2021.</w:t>
      </w:r>
    </w:p>
    <w:p w14:paraId="07758E69" w14:textId="77777777" w:rsidR="006D5775" w:rsidRPr="006D5775" w:rsidRDefault="006D5775" w:rsidP="006D5775">
      <w:pPr>
        <w:shd w:val="clear" w:color="auto" w:fill="FFFFFF"/>
        <w:spacing w:after="100" w:line="240" w:lineRule="auto"/>
        <w:textAlignment w:val="top"/>
        <w:rPr>
          <w:rFonts w:ascii="Arial" w:eastAsia="Times New Roman" w:hAnsi="Arial" w:cs="Arial"/>
          <w:color w:val="000000"/>
          <w:kern w:val="0"/>
          <w:sz w:val="21"/>
          <w:szCs w:val="21"/>
          <w14:ligatures w14:val="none"/>
        </w:rPr>
      </w:pPr>
      <w:r w:rsidRPr="006D5775">
        <w:rPr>
          <w:rFonts w:ascii="Arial" w:eastAsia="Times New Roman" w:hAnsi="Arial" w:cs="Arial"/>
          <w:color w:val="000000"/>
          <w:kern w:val="0"/>
          <w:sz w:val="21"/>
          <w:szCs w:val="21"/>
          <w14:ligatures w14:val="none"/>
        </w:rPr>
        <w:t xml:space="preserve">Median annual wage, all o…Selected high-paying occupations that focus on the environment, 2021HydrologistsGeoscientistsMicrobiologistsEpidemiologistsEnvironmental scientists and​specialists, including </w:t>
      </w:r>
      <w:proofErr w:type="spellStart"/>
      <w:r w:rsidRPr="006D5775">
        <w:rPr>
          <w:rFonts w:ascii="Arial" w:eastAsia="Times New Roman" w:hAnsi="Arial" w:cs="Arial"/>
          <w:color w:val="000000"/>
          <w:kern w:val="0"/>
          <w:sz w:val="21"/>
          <w:szCs w:val="21"/>
          <w14:ligatures w14:val="none"/>
        </w:rPr>
        <w:t>healthSoil</w:t>
      </w:r>
      <w:proofErr w:type="spellEnd"/>
      <w:r w:rsidRPr="006D5775">
        <w:rPr>
          <w:rFonts w:ascii="Arial" w:eastAsia="Times New Roman" w:hAnsi="Arial" w:cs="Arial"/>
          <w:color w:val="000000"/>
          <w:kern w:val="0"/>
          <w:sz w:val="21"/>
          <w:szCs w:val="21"/>
          <w14:ligatures w14:val="none"/>
        </w:rPr>
        <w:t xml:space="preserve"> scientists and plant​</w:t>
      </w:r>
      <w:proofErr w:type="spellStart"/>
      <w:r w:rsidRPr="006D5775">
        <w:rPr>
          <w:rFonts w:ascii="Arial" w:eastAsia="Times New Roman" w:hAnsi="Arial" w:cs="Arial"/>
          <w:color w:val="000000"/>
          <w:kern w:val="0"/>
          <w:sz w:val="21"/>
          <w:szCs w:val="21"/>
          <w14:ligatures w14:val="none"/>
        </w:rPr>
        <w:t>scientistsZoologists</w:t>
      </w:r>
      <w:proofErr w:type="spellEnd"/>
      <w:r w:rsidRPr="006D5775">
        <w:rPr>
          <w:rFonts w:ascii="Arial" w:eastAsia="Times New Roman" w:hAnsi="Arial" w:cs="Arial"/>
          <w:color w:val="000000"/>
          <w:kern w:val="0"/>
          <w:sz w:val="21"/>
          <w:szCs w:val="21"/>
          <w14:ligatures w14:val="none"/>
        </w:rPr>
        <w:t xml:space="preserve"> and wildlife​</w:t>
      </w:r>
      <w:proofErr w:type="spellStart"/>
      <w:r w:rsidRPr="006D5775">
        <w:rPr>
          <w:rFonts w:ascii="Arial" w:eastAsia="Times New Roman" w:hAnsi="Arial" w:cs="Arial"/>
          <w:color w:val="000000"/>
          <w:kern w:val="0"/>
          <w:sz w:val="21"/>
          <w:szCs w:val="21"/>
          <w14:ligatures w14:val="none"/>
        </w:rPr>
        <w:t>biologistsForestersConservation</w:t>
      </w:r>
      <w:proofErr w:type="spellEnd"/>
      <w:r w:rsidRPr="006D5775">
        <w:rPr>
          <w:rFonts w:ascii="Arial" w:eastAsia="Times New Roman" w:hAnsi="Arial" w:cs="Arial"/>
          <w:color w:val="000000"/>
          <w:kern w:val="0"/>
          <w:sz w:val="21"/>
          <w:szCs w:val="21"/>
          <w14:ligatures w14:val="none"/>
        </w:rPr>
        <w:t xml:space="preserve"> scientists$0$25,000$50,000$75,000$100,000Hover over bars to view data.​Note: None of the occupations typically requires experience to enter or on-the-job training to attain competency.​Source: U.S. Bureau of Labor Statistics, Employment Projections (projections, education) and ​Occupational Employment Wage Statistic (wages) programs.</w:t>
      </w:r>
    </w:p>
    <w:p w14:paraId="65F540D4" w14:textId="77777777" w:rsid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p>
    <w:p w14:paraId="7D632724" w14:textId="12102C7D" w:rsid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r>
        <w:rPr>
          <w:noProof/>
        </w:rPr>
        <w:drawing>
          <wp:inline distT="0" distB="0" distL="0" distR="0" wp14:anchorId="1187669E" wp14:editId="4F1DBD85">
            <wp:extent cx="4418849" cy="2705100"/>
            <wp:effectExtent l="0" t="0" r="127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6"/>
                    <a:stretch>
                      <a:fillRect/>
                    </a:stretch>
                  </pic:blipFill>
                  <pic:spPr>
                    <a:xfrm>
                      <a:off x="0" y="0"/>
                      <a:ext cx="4435140" cy="2715073"/>
                    </a:xfrm>
                    <a:prstGeom prst="rect">
                      <a:avLst/>
                    </a:prstGeom>
                  </pic:spPr>
                </pic:pic>
              </a:graphicData>
            </a:graphic>
          </wp:inline>
        </w:drawing>
      </w:r>
    </w:p>
    <w:p w14:paraId="6BF5C57D" w14:textId="77777777" w:rsid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p>
    <w:p w14:paraId="4534E980" w14:textId="06CE8CA8" w:rsidR="006D5775" w:rsidRP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r w:rsidRPr="006D5775">
        <w:rPr>
          <w:rFonts w:ascii="Tahoma" w:eastAsia="Times New Roman" w:hAnsi="Tahoma" w:cs="Tahoma"/>
          <w:color w:val="333333"/>
          <w:kern w:val="0"/>
          <w:sz w:val="20"/>
          <w:szCs w:val="20"/>
          <w14:ligatures w14:val="none"/>
        </w:rPr>
        <w:lastRenderedPageBreak/>
        <w:t>Hydrologists had the smallest worker pool among occupations in the chart, employing 6,800 in 2021; not surprisingly, it’s also projected to have the fewest openings each year, on average, from 2021 to 2031. </w:t>
      </w:r>
      <w:hyperlink r:id="rId17" w:history="1">
        <w:r w:rsidRPr="006D5775">
          <w:rPr>
            <w:rFonts w:ascii="Tahoma" w:eastAsia="Times New Roman" w:hAnsi="Tahoma" w:cs="Tahoma"/>
            <w:color w:val="003399"/>
            <w:kern w:val="0"/>
            <w:sz w:val="24"/>
            <w:szCs w:val="24"/>
            <w:u w:val="single"/>
            <w14:ligatures w14:val="none"/>
          </w:rPr>
          <w:t>Environmental scientists</w:t>
        </w:r>
      </w:hyperlink>
      <w:r w:rsidRPr="006D5775">
        <w:rPr>
          <w:rFonts w:ascii="Tahoma" w:eastAsia="Times New Roman" w:hAnsi="Tahoma" w:cs="Tahoma"/>
          <w:color w:val="333333"/>
          <w:kern w:val="0"/>
          <w:sz w:val="20"/>
          <w:szCs w:val="20"/>
          <w14:ligatures w14:val="none"/>
        </w:rPr>
        <w:t>, who conduct research and recommend action to protect the environment or human health, is the largest among the occupations shown (80,000 employed in 2021) and is projected to average the most openings each year (about 7,800 over the 2021–31 decade). Occupational openings arise both from job growth and from the need to replace workers who leave their occupation permanently to retire, to enter a different occupation, or for other reasons.</w:t>
      </w:r>
    </w:p>
    <w:p w14:paraId="19EEB6C8" w14:textId="77777777" w:rsidR="006D5775" w:rsidRP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r w:rsidRPr="006D5775">
        <w:rPr>
          <w:rFonts w:ascii="Tahoma" w:eastAsia="Times New Roman" w:hAnsi="Tahoma" w:cs="Tahoma"/>
          <w:color w:val="333333"/>
          <w:kern w:val="0"/>
          <w:sz w:val="20"/>
          <w:szCs w:val="20"/>
          <w14:ligatures w14:val="none"/>
        </w:rPr>
        <w:t>Nearly all the selected occupations typically require a bachelor’s degree to enter. The exception is </w:t>
      </w:r>
      <w:hyperlink r:id="rId18" w:history="1">
        <w:r w:rsidRPr="006D5775">
          <w:rPr>
            <w:rFonts w:ascii="Tahoma" w:eastAsia="Times New Roman" w:hAnsi="Tahoma" w:cs="Tahoma"/>
            <w:color w:val="003399"/>
            <w:kern w:val="0"/>
            <w:sz w:val="24"/>
            <w:szCs w:val="24"/>
            <w:u w:val="single"/>
            <w14:ligatures w14:val="none"/>
          </w:rPr>
          <w:t>epidemiologists</w:t>
        </w:r>
      </w:hyperlink>
      <w:r w:rsidRPr="006D5775">
        <w:rPr>
          <w:rFonts w:ascii="Tahoma" w:eastAsia="Times New Roman" w:hAnsi="Tahoma" w:cs="Tahoma"/>
          <w:color w:val="333333"/>
          <w:kern w:val="0"/>
          <w:sz w:val="20"/>
          <w:szCs w:val="20"/>
          <w14:ligatures w14:val="none"/>
        </w:rPr>
        <w:t>, which typically requires a master’s degree. Environmental epidemiologists study how elements in the world around us, such as chemicals, affect human health. </w:t>
      </w:r>
    </w:p>
    <w:p w14:paraId="75E6E3FB" w14:textId="77777777" w:rsidR="006D5775" w:rsidRPr="006D5775" w:rsidRDefault="006D5775" w:rsidP="006D5775">
      <w:pPr>
        <w:shd w:val="clear" w:color="auto" w:fill="FFFFFF"/>
        <w:spacing w:after="0" w:line="384" w:lineRule="atLeast"/>
        <w:textAlignment w:val="top"/>
        <w:rPr>
          <w:rFonts w:ascii="Tahoma" w:eastAsia="Times New Roman" w:hAnsi="Tahoma" w:cs="Tahoma"/>
          <w:color w:val="333333"/>
          <w:kern w:val="0"/>
          <w:sz w:val="20"/>
          <w:szCs w:val="20"/>
          <w14:ligatures w14:val="none"/>
        </w:rPr>
      </w:pPr>
      <w:r w:rsidRPr="006D5775">
        <w:rPr>
          <w:rFonts w:ascii="Tahoma" w:eastAsia="Times New Roman" w:hAnsi="Tahoma" w:cs="Tahoma"/>
          <w:color w:val="333333"/>
          <w:kern w:val="0"/>
          <w:sz w:val="20"/>
          <w:szCs w:val="20"/>
          <w14:ligatures w14:val="none"/>
        </w:rPr>
        <w:t>Visit the </w:t>
      </w:r>
      <w:hyperlink r:id="rId19" w:history="1">
        <w:r w:rsidRPr="006D5775">
          <w:rPr>
            <w:rFonts w:ascii="Tahoma" w:eastAsia="Times New Roman" w:hAnsi="Tahoma" w:cs="Tahoma"/>
            <w:color w:val="003399"/>
            <w:kern w:val="0"/>
            <w:sz w:val="24"/>
            <w:szCs w:val="24"/>
            <w:u w:val="single"/>
            <w14:ligatures w14:val="none"/>
          </w:rPr>
          <w:t>Occupational Outlook Handbook</w:t>
        </w:r>
      </w:hyperlink>
      <w:r w:rsidRPr="006D5775">
        <w:rPr>
          <w:rFonts w:ascii="Tahoma" w:eastAsia="Times New Roman" w:hAnsi="Tahoma" w:cs="Tahoma"/>
          <w:color w:val="333333"/>
          <w:kern w:val="0"/>
          <w:sz w:val="20"/>
          <w:szCs w:val="20"/>
          <w14:ligatures w14:val="none"/>
        </w:rPr>
        <w:t> to learn more about what workers do, their pay, job outlook, and more for the occupations in the chart—as well as for hundreds of others.</w:t>
      </w:r>
    </w:p>
    <w:p w14:paraId="35C4FF68" w14:textId="77777777" w:rsidR="006D5775" w:rsidRPr="006D5775" w:rsidRDefault="006D5775" w:rsidP="006D5775">
      <w:pPr>
        <w:shd w:val="clear" w:color="auto" w:fill="FFFFFF"/>
        <w:spacing w:line="384" w:lineRule="atLeast"/>
        <w:textAlignment w:val="top"/>
        <w:rPr>
          <w:rFonts w:ascii="Arial" w:eastAsia="Times New Roman" w:hAnsi="Arial" w:cs="Arial"/>
          <w:color w:val="666666"/>
          <w:kern w:val="0"/>
          <w:sz w:val="20"/>
          <w:szCs w:val="20"/>
          <w14:ligatures w14:val="none"/>
        </w:rPr>
      </w:pPr>
      <w:proofErr w:type="spellStart"/>
      <w:r w:rsidRPr="006D5775">
        <w:rPr>
          <w:rFonts w:ascii="Arial" w:eastAsia="Times New Roman" w:hAnsi="Arial" w:cs="Arial"/>
          <w:color w:val="666666"/>
          <w:kern w:val="0"/>
          <w:sz w:val="20"/>
          <w:szCs w:val="20"/>
          <w14:ligatures w14:val="none"/>
        </w:rPr>
        <w:t>Stanislava</w:t>
      </w:r>
      <w:proofErr w:type="spellEnd"/>
      <w:r w:rsidRPr="006D5775">
        <w:rPr>
          <w:rFonts w:ascii="Arial" w:eastAsia="Times New Roman" w:hAnsi="Arial" w:cs="Arial"/>
          <w:color w:val="666666"/>
          <w:kern w:val="0"/>
          <w:sz w:val="20"/>
          <w:szCs w:val="20"/>
          <w14:ligatures w14:val="none"/>
        </w:rPr>
        <w:t xml:space="preserve"> Ilic-Godfrey and Patricia Tate are economists in the Office of Occupational Statistics and Employment Projections, BLS.</w:t>
      </w:r>
    </w:p>
    <w:p w14:paraId="61870FEC" w14:textId="77777777" w:rsidR="006D5775" w:rsidRPr="006D5775" w:rsidRDefault="006D5775" w:rsidP="006D5775">
      <w:pPr>
        <w:shd w:val="clear" w:color="auto" w:fill="F5F7F9"/>
        <w:spacing w:after="0" w:line="248" w:lineRule="atLeast"/>
        <w:textAlignment w:val="top"/>
        <w:outlineLvl w:val="4"/>
        <w:rPr>
          <w:rFonts w:ascii="Arial" w:eastAsia="Times New Roman" w:hAnsi="Arial" w:cs="Arial"/>
          <w:b/>
          <w:bCs/>
          <w:caps/>
          <w:color w:val="990000"/>
          <w:spacing w:val="-7"/>
          <w:kern w:val="0"/>
          <w:sz w:val="14"/>
          <w:szCs w:val="14"/>
          <w14:ligatures w14:val="none"/>
        </w:rPr>
      </w:pPr>
      <w:r w:rsidRPr="006D5775">
        <w:rPr>
          <w:rFonts w:ascii="Arial" w:eastAsia="Times New Roman" w:hAnsi="Arial" w:cs="Arial"/>
          <w:b/>
          <w:bCs/>
          <w:caps/>
          <w:color w:val="990000"/>
          <w:spacing w:val="-7"/>
          <w:kern w:val="0"/>
          <w:sz w:val="14"/>
          <w:szCs w:val="14"/>
          <w14:ligatures w14:val="none"/>
        </w:rPr>
        <w:t>SUGGESTED CITATION:</w:t>
      </w:r>
    </w:p>
    <w:p w14:paraId="157AB418" w14:textId="77777777" w:rsidR="006D5775" w:rsidRPr="006D5775" w:rsidRDefault="006D5775" w:rsidP="006D5775">
      <w:pPr>
        <w:shd w:val="clear" w:color="auto" w:fill="F5F7F9"/>
        <w:spacing w:after="75" w:line="384" w:lineRule="atLeast"/>
        <w:textAlignment w:val="top"/>
        <w:rPr>
          <w:rFonts w:ascii="Tahoma" w:eastAsia="Times New Roman" w:hAnsi="Tahoma" w:cs="Tahoma"/>
          <w:color w:val="333333"/>
          <w:kern w:val="0"/>
          <w:sz w:val="17"/>
          <w:szCs w:val="17"/>
          <w14:ligatures w14:val="none"/>
        </w:rPr>
      </w:pPr>
      <w:proofErr w:type="spellStart"/>
      <w:r w:rsidRPr="006D5775">
        <w:rPr>
          <w:rFonts w:ascii="Tahoma" w:eastAsia="Times New Roman" w:hAnsi="Tahoma" w:cs="Tahoma"/>
          <w:color w:val="333333"/>
          <w:kern w:val="0"/>
          <w:sz w:val="17"/>
          <w:szCs w:val="17"/>
          <w14:ligatures w14:val="none"/>
        </w:rPr>
        <w:t>Stanislava</w:t>
      </w:r>
      <w:proofErr w:type="spellEnd"/>
      <w:r w:rsidRPr="006D5775">
        <w:rPr>
          <w:rFonts w:ascii="Tahoma" w:eastAsia="Times New Roman" w:hAnsi="Tahoma" w:cs="Tahoma"/>
          <w:color w:val="333333"/>
          <w:kern w:val="0"/>
          <w:sz w:val="17"/>
          <w:szCs w:val="17"/>
          <w14:ligatures w14:val="none"/>
        </w:rPr>
        <w:t xml:space="preserve"> Ilic-Godfrey and Patricia Tate, "Good wages for green work: High-paying careers with an environmental focus," </w:t>
      </w:r>
      <w:r w:rsidRPr="006D5775">
        <w:rPr>
          <w:rFonts w:ascii="Tahoma" w:eastAsia="Times New Roman" w:hAnsi="Tahoma" w:cs="Tahoma"/>
          <w:i/>
          <w:iCs/>
          <w:color w:val="333333"/>
          <w:kern w:val="0"/>
          <w:sz w:val="17"/>
          <w:szCs w:val="17"/>
          <w14:ligatures w14:val="none"/>
        </w:rPr>
        <w:t>Career Outlook, </w:t>
      </w:r>
      <w:r w:rsidRPr="006D5775">
        <w:rPr>
          <w:rFonts w:ascii="Tahoma" w:eastAsia="Times New Roman" w:hAnsi="Tahoma" w:cs="Tahoma"/>
          <w:color w:val="333333"/>
          <w:kern w:val="0"/>
          <w:sz w:val="17"/>
          <w:szCs w:val="17"/>
          <w14:ligatures w14:val="none"/>
        </w:rPr>
        <w:t>U.S. Bureau of Labor Statistics, April 2023.</w:t>
      </w:r>
    </w:p>
    <w:p w14:paraId="5459B0E9" w14:textId="77777777" w:rsidR="006D5775" w:rsidRDefault="006D5775"/>
    <w:sectPr w:rsidR="006D5775" w:rsidSect="006D5775">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21"/>
    <w:multiLevelType w:val="multilevel"/>
    <w:tmpl w:val="405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525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75"/>
    <w:rsid w:val="006D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FC7E"/>
  <w15:chartTrackingRefBased/>
  <w15:docId w15:val="{BBE18A77-CE7D-4E66-8193-2EAD9A2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0598">
      <w:bodyDiv w:val="1"/>
      <w:marLeft w:val="0"/>
      <w:marRight w:val="0"/>
      <w:marTop w:val="0"/>
      <w:marBottom w:val="0"/>
      <w:divBdr>
        <w:top w:val="none" w:sz="0" w:space="0" w:color="auto"/>
        <w:left w:val="none" w:sz="0" w:space="0" w:color="auto"/>
        <w:bottom w:val="none" w:sz="0" w:space="0" w:color="auto"/>
        <w:right w:val="none" w:sz="0" w:space="0" w:color="auto"/>
      </w:divBdr>
      <w:divsChild>
        <w:div w:id="738208009">
          <w:marLeft w:val="0"/>
          <w:marRight w:val="0"/>
          <w:marTop w:val="0"/>
          <w:marBottom w:val="450"/>
          <w:divBdr>
            <w:top w:val="none" w:sz="0" w:space="0" w:color="auto"/>
            <w:left w:val="none" w:sz="0" w:space="0" w:color="auto"/>
            <w:bottom w:val="none" w:sz="0" w:space="0" w:color="auto"/>
            <w:right w:val="none" w:sz="0" w:space="0" w:color="auto"/>
          </w:divBdr>
        </w:div>
        <w:div w:id="69617215">
          <w:marLeft w:val="0"/>
          <w:marRight w:val="0"/>
          <w:marTop w:val="0"/>
          <w:marBottom w:val="0"/>
          <w:divBdr>
            <w:top w:val="none" w:sz="0" w:space="0" w:color="auto"/>
            <w:left w:val="none" w:sz="0" w:space="0" w:color="auto"/>
            <w:bottom w:val="none" w:sz="0" w:space="0" w:color="auto"/>
            <w:right w:val="none" w:sz="0" w:space="0" w:color="auto"/>
          </w:divBdr>
          <w:divsChild>
            <w:div w:id="1654917699">
              <w:marLeft w:val="0"/>
              <w:marRight w:val="0"/>
              <w:marTop w:val="100"/>
              <w:marBottom w:val="100"/>
              <w:divBdr>
                <w:top w:val="none" w:sz="0" w:space="0" w:color="auto"/>
                <w:left w:val="none" w:sz="0" w:space="0" w:color="auto"/>
                <w:bottom w:val="none" w:sz="0" w:space="0" w:color="auto"/>
                <w:right w:val="none" w:sz="0" w:space="0" w:color="auto"/>
              </w:divBdr>
            </w:div>
            <w:div w:id="1236432477">
              <w:marLeft w:val="0"/>
              <w:marRight w:val="0"/>
              <w:marTop w:val="0"/>
              <w:marBottom w:val="0"/>
              <w:divBdr>
                <w:top w:val="none" w:sz="0" w:space="0" w:color="auto"/>
                <w:left w:val="none" w:sz="0" w:space="0" w:color="auto"/>
                <w:bottom w:val="none" w:sz="0" w:space="0" w:color="auto"/>
                <w:right w:val="none" w:sz="0" w:space="0" w:color="auto"/>
              </w:divBdr>
            </w:div>
            <w:div w:id="111286264">
              <w:marLeft w:val="0"/>
              <w:marRight w:val="0"/>
              <w:marTop w:val="450"/>
              <w:marBottom w:val="300"/>
              <w:divBdr>
                <w:top w:val="single" w:sz="6" w:space="8" w:color="CCCCCC"/>
                <w:left w:val="none" w:sz="0" w:space="0" w:color="auto"/>
                <w:bottom w:val="none" w:sz="0" w:space="0" w:color="auto"/>
                <w:right w:val="none" w:sz="0" w:space="0" w:color="auto"/>
              </w:divBdr>
            </w:div>
            <w:div w:id="206795684">
              <w:marLeft w:val="0"/>
              <w:marRight w:val="0"/>
              <w:marTop w:val="75"/>
              <w:marBottom w:val="75"/>
              <w:divBdr>
                <w:top w:val="dashed" w:sz="2" w:space="8" w:color="003399"/>
                <w:left w:val="dashed" w:sz="2" w:space="8" w:color="003399"/>
                <w:bottom w:val="dashed" w:sz="2" w:space="8" w:color="003399"/>
                <w:right w:val="dashed" w:sz="2" w:space="8" w:color="0033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hyperlink" Target="https://www.bls.gov/ooh/life-physical-and-social-science/epidemiologist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bls.gov/careeroutlook/department/data-on-display.htm" TargetMode="External"/><Relationship Id="rId17" Type="http://schemas.openxmlformats.org/officeDocument/2006/relationships/hyperlink" Target="https://www.bls.gov/ooh/life-physical-and-social-science/environmental-scientists-and-specialists.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ls.gov/careeroutlook/home.htm" TargetMode="External"/><Relationship Id="rId11" Type="http://schemas.openxmlformats.org/officeDocument/2006/relationships/control" Target="activeX/activeX2.xml"/><Relationship Id="rId5" Type="http://schemas.openxmlformats.org/officeDocument/2006/relationships/image" Target="media/image1.png"/><Relationship Id="rId15" Type="http://schemas.openxmlformats.org/officeDocument/2006/relationships/hyperlink" Target="https://www.bls.gov/ooh/life-physical-and-social-science/hydrologists.htm" TargetMode="External"/><Relationship Id="rId10" Type="http://schemas.openxmlformats.org/officeDocument/2006/relationships/image" Target="media/image4.wmf"/><Relationship Id="rId19" Type="http://schemas.openxmlformats.org/officeDocument/2006/relationships/hyperlink" Target="https://www.bls.gov/ooh/"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bls.gov/careeroutlook/2023/data-on-display/green-jobs.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2023-04-27T14:50:00Z</dcterms:created>
  <dcterms:modified xsi:type="dcterms:W3CDTF">2023-04-27T14:58:00Z</dcterms:modified>
</cp:coreProperties>
</file>