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752"/>
        <w:gridCol w:w="528"/>
        <w:gridCol w:w="1050"/>
        <w:gridCol w:w="1170"/>
        <w:gridCol w:w="1170"/>
        <w:gridCol w:w="900"/>
        <w:gridCol w:w="810"/>
        <w:gridCol w:w="1080"/>
        <w:gridCol w:w="720"/>
        <w:gridCol w:w="1170"/>
        <w:gridCol w:w="1710"/>
        <w:gridCol w:w="1080"/>
        <w:gridCol w:w="990"/>
        <w:gridCol w:w="1080"/>
      </w:tblGrid>
      <w:tr w:rsidR="00880BE9" w:rsidRPr="00FC36C2" w:rsidTr="00880BE9">
        <w:tc>
          <w:tcPr>
            <w:tcW w:w="15210" w:type="dxa"/>
            <w:gridSpan w:val="14"/>
            <w:shd w:val="clear" w:color="auto" w:fill="C5E0B3" w:themeFill="accent6" w:themeFillTint="66"/>
          </w:tcPr>
          <w:p w:rsidR="00880BE9" w:rsidRPr="00A515CE" w:rsidRDefault="00880BE9" w:rsidP="002668C3">
            <w:pPr>
              <w:jc w:val="center"/>
              <w:rPr>
                <w:b/>
                <w:sz w:val="28"/>
                <w:szCs w:val="28"/>
              </w:rPr>
            </w:pPr>
            <w:r w:rsidRPr="00A515CE">
              <w:rPr>
                <w:b/>
                <w:sz w:val="28"/>
                <w:szCs w:val="28"/>
              </w:rPr>
              <w:t xml:space="preserve">CALIFORNIA COMPETITIVE INTEGRATED EMPLOYMENT (CIE) </w:t>
            </w:r>
          </w:p>
          <w:p w:rsidR="00880BE9" w:rsidRPr="00A515CE" w:rsidRDefault="00880BE9" w:rsidP="002668C3">
            <w:pPr>
              <w:jc w:val="center"/>
              <w:rPr>
                <w:b/>
                <w:sz w:val="28"/>
                <w:szCs w:val="28"/>
              </w:rPr>
            </w:pPr>
            <w:r w:rsidRPr="00A515CE">
              <w:rPr>
                <w:b/>
                <w:sz w:val="28"/>
                <w:szCs w:val="28"/>
              </w:rPr>
              <w:t>RESOURCES, SERVICES &amp; FUNDING</w:t>
            </w:r>
          </w:p>
          <w:p w:rsidR="00880BE9" w:rsidRPr="00A515CE" w:rsidRDefault="00880BE9" w:rsidP="002668C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A515CE">
              <w:rPr>
                <w:b/>
                <w:sz w:val="24"/>
                <w:szCs w:val="24"/>
              </w:rPr>
              <w:t>(Training, Securing &amp; Retaining CIE)</w:t>
            </w:r>
          </w:p>
          <w:bookmarkEnd w:id="0"/>
          <w:p w:rsidR="00880BE9" w:rsidRPr="00A515CE" w:rsidRDefault="00880BE9" w:rsidP="00A515CE">
            <w:pPr>
              <w:jc w:val="both"/>
              <w:rPr>
                <w:sz w:val="24"/>
                <w:szCs w:val="24"/>
              </w:rPr>
            </w:pPr>
            <w:r w:rsidRPr="00A515CE">
              <w:rPr>
                <w:sz w:val="24"/>
                <w:szCs w:val="24"/>
              </w:rPr>
              <w:t>The specifics indicated in this chart are intended to support youth and young adults with a wide range of disabilities,</w:t>
            </w:r>
            <w:r w:rsidR="00A515CE" w:rsidRPr="00A515CE">
              <w:rPr>
                <w:sz w:val="24"/>
                <w:szCs w:val="24"/>
              </w:rPr>
              <w:t xml:space="preserve"> </w:t>
            </w:r>
            <w:r w:rsidRPr="00A515CE">
              <w:rPr>
                <w:sz w:val="24"/>
                <w:szCs w:val="24"/>
              </w:rPr>
              <w:t>including those with the most significant disabilities. Eligibility requirements apply to all and some services are time limited.</w:t>
            </w:r>
            <w:r w:rsidR="00A515CE" w:rsidRPr="00A515CE">
              <w:rPr>
                <w:sz w:val="24"/>
                <w:szCs w:val="24"/>
              </w:rPr>
              <w:t xml:space="preserve"> For specific information, please contact the agency or education site.</w:t>
            </w:r>
          </w:p>
        </w:tc>
      </w:tr>
      <w:tr w:rsidR="00880BE9" w:rsidTr="00880BE9">
        <w:tc>
          <w:tcPr>
            <w:tcW w:w="1752" w:type="dxa"/>
            <w:shd w:val="clear" w:color="auto" w:fill="BFBFBF" w:themeFill="background1" w:themeFillShade="BF"/>
          </w:tcPr>
          <w:p w:rsidR="002C345F" w:rsidRPr="00880BE9" w:rsidRDefault="002C345F">
            <w:pPr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AGENCIES, PROGRAMS &amp; FUNDING SOURCES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2C345F" w:rsidRPr="002D7578" w:rsidRDefault="002C345F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Career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Exploration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Case Management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Job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Development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Job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Coaching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Travel Training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Employment Preparation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Job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Search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Occupational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Skills Training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Career</w:t>
            </w:r>
          </w:p>
          <w:p w:rsidR="00880BE9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Development</w:t>
            </w:r>
          </w:p>
          <w:p w:rsidR="002C345F" w:rsidRPr="00880BE9" w:rsidRDefault="002C345F" w:rsidP="00880BE9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/PSE Planning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Educational Coaching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Internships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Paid/</w:t>
            </w:r>
          </w:p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Non-Paid)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2C345F" w:rsidRPr="00880BE9" w:rsidRDefault="002C345F" w:rsidP="00DB7DED">
            <w:pPr>
              <w:jc w:val="center"/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t>Employment</w:t>
            </w:r>
          </w:p>
        </w:tc>
      </w:tr>
      <w:tr w:rsidR="00880BE9" w:rsidTr="00880BE9">
        <w:tc>
          <w:tcPr>
            <w:tcW w:w="1752" w:type="dxa"/>
            <w:shd w:val="clear" w:color="auto" w:fill="A8D08D" w:themeFill="accent6" w:themeFillTint="99"/>
          </w:tcPr>
          <w:p w:rsidR="002C345F" w:rsidRPr="00074BD6" w:rsidRDefault="002C345F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LOCAL EDUCATION</w:t>
            </w:r>
          </w:p>
          <w:p w:rsidR="002C345F" w:rsidRPr="00074BD6" w:rsidRDefault="002C345F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AGENCIES (LEAs)</w:t>
            </w:r>
          </w:p>
        </w:tc>
        <w:tc>
          <w:tcPr>
            <w:tcW w:w="528" w:type="dxa"/>
            <w:shd w:val="clear" w:color="auto" w:fill="A8D08D" w:themeFill="accent6" w:themeFillTint="99"/>
          </w:tcPr>
          <w:p w:rsidR="002C345F" w:rsidRPr="002D7578" w:rsidRDefault="002C345F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105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72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Workability I/CDE</w:t>
            </w:r>
          </w:p>
        </w:tc>
        <w:tc>
          <w:tcPr>
            <w:tcW w:w="528" w:type="dxa"/>
          </w:tcPr>
          <w:p w:rsidR="002C345F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105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Transition Partnership/DOR</w:t>
            </w:r>
          </w:p>
        </w:tc>
        <w:tc>
          <w:tcPr>
            <w:tcW w:w="528" w:type="dxa"/>
          </w:tcPr>
          <w:p w:rsidR="002C345F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105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5E1EEC" w:rsidTr="00880BE9">
        <w:tc>
          <w:tcPr>
            <w:tcW w:w="1752" w:type="dxa"/>
          </w:tcPr>
          <w:p w:rsidR="005E1EEC" w:rsidRPr="00074BD6" w:rsidRDefault="005E1EEC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 “We Can Work”</w:t>
            </w:r>
          </w:p>
        </w:tc>
        <w:tc>
          <w:tcPr>
            <w:tcW w:w="528" w:type="dxa"/>
          </w:tcPr>
          <w:p w:rsidR="005E1EEC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14-22</w:t>
            </w:r>
          </w:p>
        </w:tc>
        <w:tc>
          <w:tcPr>
            <w:tcW w:w="1050" w:type="dxa"/>
          </w:tcPr>
          <w:p w:rsidR="005E1EEC" w:rsidRDefault="005E1EEC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5E1EEC" w:rsidRDefault="005E1EEC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5E1EEC" w:rsidRDefault="005E1EEC" w:rsidP="00DB7DE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5E1EEC" w:rsidRDefault="005E1EEC" w:rsidP="00DB7DED">
            <w:pPr>
              <w:jc w:val="center"/>
            </w:pPr>
          </w:p>
        </w:tc>
        <w:tc>
          <w:tcPr>
            <w:tcW w:w="171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5E1EEC" w:rsidRDefault="005E1EEC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Career Technical Education/CDE</w:t>
            </w:r>
          </w:p>
        </w:tc>
        <w:tc>
          <w:tcPr>
            <w:tcW w:w="528" w:type="dxa"/>
          </w:tcPr>
          <w:p w:rsidR="002C345F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14-22</w:t>
            </w:r>
          </w:p>
        </w:tc>
        <w:tc>
          <w:tcPr>
            <w:tcW w:w="105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9F7AF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  <w:r w:rsidRPr="00074BD6">
              <w:rPr>
                <w:sz w:val="20"/>
                <w:szCs w:val="20"/>
              </w:rPr>
              <w:t xml:space="preserve"> Pathways</w:t>
            </w:r>
          </w:p>
        </w:tc>
        <w:tc>
          <w:tcPr>
            <w:tcW w:w="528" w:type="dxa"/>
          </w:tcPr>
          <w:p w:rsidR="002C345F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14-22</w:t>
            </w:r>
          </w:p>
        </w:tc>
        <w:tc>
          <w:tcPr>
            <w:tcW w:w="105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IDEA/IEP</w:t>
            </w:r>
            <w:r w:rsidR="005E1EEC">
              <w:rPr>
                <w:sz w:val="20"/>
                <w:szCs w:val="20"/>
              </w:rPr>
              <w:t>/ITP</w:t>
            </w:r>
          </w:p>
        </w:tc>
        <w:tc>
          <w:tcPr>
            <w:tcW w:w="528" w:type="dxa"/>
          </w:tcPr>
          <w:p w:rsidR="002C345F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105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</w:tcPr>
          <w:p w:rsidR="002C345F" w:rsidRDefault="002C345F" w:rsidP="009E5A4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99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DB7DED">
            <w:p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Adult Transition Program</w:t>
            </w:r>
          </w:p>
        </w:tc>
        <w:tc>
          <w:tcPr>
            <w:tcW w:w="528" w:type="dxa"/>
          </w:tcPr>
          <w:p w:rsidR="002C345F" w:rsidRPr="002D7578" w:rsidRDefault="005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18-22</w:t>
            </w:r>
          </w:p>
        </w:tc>
        <w:tc>
          <w:tcPr>
            <w:tcW w:w="105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  <w:shd w:val="clear" w:color="auto" w:fill="A8D08D" w:themeFill="accent6" w:themeFillTint="99"/>
          </w:tcPr>
          <w:p w:rsidR="002C345F" w:rsidRDefault="002C345F" w:rsidP="001650B7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REGIONAL CENTER</w:t>
            </w:r>
            <w:r>
              <w:rPr>
                <w:b/>
                <w:sz w:val="20"/>
                <w:szCs w:val="20"/>
              </w:rPr>
              <w:t xml:space="preserve"> &amp;</w:t>
            </w:r>
          </w:p>
          <w:p w:rsidR="002C345F" w:rsidRPr="00074BD6" w:rsidRDefault="002C345F" w:rsidP="0016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AGENCIES</w:t>
            </w:r>
          </w:p>
        </w:tc>
        <w:tc>
          <w:tcPr>
            <w:tcW w:w="528" w:type="dxa"/>
            <w:shd w:val="clear" w:color="auto" w:fill="A8D08D" w:themeFill="accent6" w:themeFillTint="99"/>
          </w:tcPr>
          <w:p w:rsidR="002C345F" w:rsidRPr="002D7578" w:rsidRDefault="005E1EEC" w:rsidP="00165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C345F" w:rsidRPr="002D757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5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72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Employment First</w:t>
            </w:r>
          </w:p>
        </w:tc>
        <w:tc>
          <w:tcPr>
            <w:tcW w:w="528" w:type="dxa"/>
          </w:tcPr>
          <w:p w:rsidR="002C345F" w:rsidRPr="002D7578" w:rsidRDefault="005E1EEC" w:rsidP="00165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7845D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7845D0">
            <w:pPr>
              <w:pStyle w:val="ListParagraph"/>
            </w:pPr>
          </w:p>
        </w:tc>
        <w:tc>
          <w:tcPr>
            <w:tcW w:w="990" w:type="dxa"/>
          </w:tcPr>
          <w:p w:rsidR="002C345F" w:rsidRDefault="002C345F" w:rsidP="007845D0">
            <w:pPr>
              <w:pStyle w:val="ListParagraph"/>
            </w:pPr>
          </w:p>
        </w:tc>
        <w:tc>
          <w:tcPr>
            <w:tcW w:w="108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1650B7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ABx2-1</w:t>
            </w:r>
            <w:r>
              <w:rPr>
                <w:sz w:val="20"/>
                <w:szCs w:val="20"/>
              </w:rPr>
              <w:t xml:space="preserve"> (DDS)</w:t>
            </w:r>
            <w:r w:rsidR="00A515CE">
              <w:rPr>
                <w:sz w:val="20"/>
                <w:szCs w:val="20"/>
              </w:rPr>
              <w:t xml:space="preserve"> Paid Internship Program (PIP)</w:t>
            </w:r>
          </w:p>
        </w:tc>
        <w:tc>
          <w:tcPr>
            <w:tcW w:w="528" w:type="dxa"/>
          </w:tcPr>
          <w:p w:rsidR="002C345F" w:rsidRPr="002D7578" w:rsidRDefault="005E1EEC" w:rsidP="00165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2668C3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College to Career (C2C)</w:t>
            </w:r>
          </w:p>
        </w:tc>
        <w:tc>
          <w:tcPr>
            <w:tcW w:w="528" w:type="dxa"/>
          </w:tcPr>
          <w:p w:rsidR="002C345F" w:rsidRPr="002D7578" w:rsidRDefault="005E1EEC" w:rsidP="00165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1A1D8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2C345F" w:rsidRDefault="002C345F" w:rsidP="001A1D8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33487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33487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2C345F" w:rsidRPr="00074BD6" w:rsidRDefault="002C345F" w:rsidP="002668C3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Search</w:t>
            </w:r>
          </w:p>
        </w:tc>
        <w:tc>
          <w:tcPr>
            <w:tcW w:w="528" w:type="dxa"/>
          </w:tcPr>
          <w:p w:rsidR="002C345F" w:rsidRPr="002D7578" w:rsidRDefault="005E1EEC" w:rsidP="00165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D60A1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1A1D8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2C345F" w:rsidRDefault="002C345F" w:rsidP="001A1D84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2C345F" w:rsidRDefault="002C345F" w:rsidP="007845D0">
            <w:pPr>
              <w:pStyle w:val="ListParagraph"/>
            </w:pPr>
          </w:p>
        </w:tc>
        <w:tc>
          <w:tcPr>
            <w:tcW w:w="1080" w:type="dxa"/>
          </w:tcPr>
          <w:p w:rsidR="002C345F" w:rsidRDefault="002C345F" w:rsidP="0033487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33487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7805D5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80BE9" w:rsidTr="00880BE9">
        <w:tc>
          <w:tcPr>
            <w:tcW w:w="1752" w:type="dxa"/>
            <w:shd w:val="clear" w:color="auto" w:fill="A8D08D" w:themeFill="accent6" w:themeFillTint="99"/>
          </w:tcPr>
          <w:p w:rsidR="002C345F" w:rsidRPr="00074BD6" w:rsidRDefault="002C345F" w:rsidP="001650B7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DEPARTMENT OF REHABILITATION</w:t>
            </w:r>
            <w:r>
              <w:rPr>
                <w:b/>
                <w:sz w:val="20"/>
                <w:szCs w:val="20"/>
              </w:rPr>
              <w:t xml:space="preserve"> (DOR)</w:t>
            </w:r>
          </w:p>
        </w:tc>
        <w:tc>
          <w:tcPr>
            <w:tcW w:w="528" w:type="dxa"/>
            <w:shd w:val="clear" w:color="auto" w:fill="A8D08D" w:themeFill="accent6" w:themeFillTint="99"/>
          </w:tcPr>
          <w:p w:rsidR="002C345F" w:rsidRPr="002D7578" w:rsidRDefault="002C345F" w:rsidP="001650B7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16+</w:t>
            </w:r>
          </w:p>
        </w:tc>
        <w:tc>
          <w:tcPr>
            <w:tcW w:w="105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72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2C345F" w:rsidRDefault="002C345F" w:rsidP="00DB7DED">
            <w:pPr>
              <w:jc w:val="center"/>
            </w:pPr>
          </w:p>
        </w:tc>
      </w:tr>
      <w:tr w:rsidR="00880BE9" w:rsidTr="00880BE9">
        <w:tc>
          <w:tcPr>
            <w:tcW w:w="1752" w:type="dxa"/>
          </w:tcPr>
          <w:p w:rsidR="00A515CE" w:rsidRPr="00A515CE" w:rsidRDefault="002C345F" w:rsidP="00A515CE">
            <w:pPr>
              <w:pStyle w:val="ListParagraph"/>
              <w:numPr>
                <w:ilvl w:val="0"/>
                <w:numId w:val="5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 xml:space="preserve">WIOA </w:t>
            </w:r>
            <w:r w:rsidRPr="005E1EEC">
              <w:rPr>
                <w:sz w:val="18"/>
                <w:szCs w:val="18"/>
              </w:rPr>
              <w:t>Pre-Employment Transition Services</w:t>
            </w:r>
            <w:r w:rsidR="005E1EEC" w:rsidRPr="005E1EEC">
              <w:rPr>
                <w:sz w:val="18"/>
                <w:szCs w:val="18"/>
              </w:rPr>
              <w:t xml:space="preserve"> (Pre-ETS)</w:t>
            </w:r>
          </w:p>
          <w:p w:rsidR="00A515CE" w:rsidRPr="00A515CE" w:rsidRDefault="00A515CE" w:rsidP="00A515CE">
            <w:pPr>
              <w:pStyle w:val="ListParagraph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Services</w:t>
            </w:r>
          </w:p>
        </w:tc>
        <w:tc>
          <w:tcPr>
            <w:tcW w:w="528" w:type="dxa"/>
          </w:tcPr>
          <w:p w:rsidR="002C345F" w:rsidRPr="002D7578" w:rsidRDefault="002C345F" w:rsidP="001650B7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105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90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81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170" w:type="dxa"/>
          </w:tcPr>
          <w:p w:rsidR="002C345F" w:rsidRDefault="002C345F" w:rsidP="00DB7DED">
            <w:pPr>
              <w:jc w:val="center"/>
            </w:pPr>
          </w:p>
        </w:tc>
        <w:tc>
          <w:tcPr>
            <w:tcW w:w="171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2C345F" w:rsidRDefault="002C345F" w:rsidP="00EC062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65F26">
        <w:tc>
          <w:tcPr>
            <w:tcW w:w="1752" w:type="dxa"/>
            <w:shd w:val="clear" w:color="auto" w:fill="D0CECE" w:themeFill="background2" w:themeFillShade="E6"/>
          </w:tcPr>
          <w:p w:rsidR="00865F26" w:rsidRPr="00880BE9" w:rsidRDefault="00865F26" w:rsidP="00865F26">
            <w:pPr>
              <w:rPr>
                <w:b/>
                <w:sz w:val="16"/>
                <w:szCs w:val="16"/>
              </w:rPr>
            </w:pPr>
            <w:r w:rsidRPr="00880BE9">
              <w:rPr>
                <w:b/>
                <w:sz w:val="16"/>
                <w:szCs w:val="16"/>
              </w:rPr>
              <w:lastRenderedPageBreak/>
              <w:t>AGENCIES, PROGRAMS &amp; FUNDING SOURCES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Career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Exploration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Case Management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Job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Development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Job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Coaching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Travel Training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Employment Preparation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Job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Search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Occupational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Skills Training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Career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345F">
              <w:rPr>
                <w:b/>
                <w:sz w:val="16"/>
                <w:szCs w:val="16"/>
              </w:rPr>
              <w:t>Development/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PSE Planning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Educational Coaching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Internships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Paid/</w:t>
            </w:r>
          </w:p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Non-Paid)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65F26" w:rsidRPr="002C345F" w:rsidRDefault="00865F26" w:rsidP="00865F26">
            <w:pPr>
              <w:jc w:val="center"/>
              <w:rPr>
                <w:b/>
                <w:sz w:val="16"/>
                <w:szCs w:val="16"/>
              </w:rPr>
            </w:pPr>
            <w:r w:rsidRPr="002C345F">
              <w:rPr>
                <w:b/>
                <w:sz w:val="16"/>
                <w:szCs w:val="16"/>
              </w:rPr>
              <w:t>Employment</w:t>
            </w: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5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Employment Services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College to Career (C2C)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Workability III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Workability IV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A515CE" w:rsidP="00865F26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865F26">
              <w:rPr>
                <w:sz w:val="20"/>
                <w:szCs w:val="20"/>
              </w:rPr>
              <w:t>We Can Work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  <w:shd w:val="clear" w:color="auto" w:fill="A8D08D" w:themeFill="accent6" w:themeFillTint="99"/>
          </w:tcPr>
          <w:p w:rsidR="00865F26" w:rsidRPr="00074BD6" w:rsidRDefault="00865F26" w:rsidP="00865F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Job Center/One Stop</w:t>
            </w:r>
          </w:p>
        </w:tc>
        <w:tc>
          <w:tcPr>
            <w:tcW w:w="528" w:type="dxa"/>
            <w:shd w:val="clear" w:color="auto" w:fill="A8D08D" w:themeFill="accent6" w:themeFillTint="99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2D757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5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72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Default="00865F26" w:rsidP="00865F26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Program</w:t>
            </w:r>
          </w:p>
          <w:p w:rsidR="00865F26" w:rsidRPr="00074BD6" w:rsidRDefault="00865F26" w:rsidP="00865F26">
            <w:pPr>
              <w:pStyle w:val="ListParagraph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(In-School)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17-21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 xml:space="preserve">Youth Program </w:t>
            </w:r>
          </w:p>
          <w:p w:rsidR="00865F26" w:rsidRPr="00074BD6" w:rsidRDefault="00865F26" w:rsidP="00865F26">
            <w:pPr>
              <w:pStyle w:val="ListParagraph"/>
              <w:ind w:left="15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(Out-of-School)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17-24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267F87" w:rsidRDefault="00865F26" w:rsidP="00865F2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Workshops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Default="00865F26" w:rsidP="00865F2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Programming</w:t>
            </w:r>
          </w:p>
        </w:tc>
        <w:tc>
          <w:tcPr>
            <w:tcW w:w="528" w:type="dxa"/>
          </w:tcPr>
          <w:p w:rsidR="00865F26" w:rsidRPr="00283555" w:rsidRDefault="00865F26" w:rsidP="00865F26">
            <w:pPr>
              <w:rPr>
                <w:b/>
                <w:sz w:val="18"/>
                <w:szCs w:val="18"/>
              </w:rPr>
            </w:pPr>
            <w:r w:rsidRPr="00283555"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Default="00865F26" w:rsidP="00865F2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Pathways</w:t>
            </w:r>
          </w:p>
        </w:tc>
        <w:tc>
          <w:tcPr>
            <w:tcW w:w="528" w:type="dxa"/>
          </w:tcPr>
          <w:p w:rsidR="00865F26" w:rsidRPr="00283555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rPr>
          <w:trHeight w:val="70"/>
        </w:trPr>
        <w:tc>
          <w:tcPr>
            <w:tcW w:w="1752" w:type="dxa"/>
            <w:shd w:val="clear" w:color="auto" w:fill="A8D08D" w:themeFill="accent6" w:themeFillTint="99"/>
          </w:tcPr>
          <w:p w:rsidR="00865F26" w:rsidRDefault="00865F26" w:rsidP="00865F26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ADULT EDUCATION/</w:t>
            </w:r>
          </w:p>
          <w:p w:rsidR="00865F26" w:rsidRPr="00074BD6" w:rsidRDefault="00865F26" w:rsidP="00865F26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COMMUNITY COLLEGES</w:t>
            </w:r>
          </w:p>
        </w:tc>
        <w:tc>
          <w:tcPr>
            <w:tcW w:w="528" w:type="dxa"/>
            <w:shd w:val="clear" w:color="auto" w:fill="A8D08D" w:themeFill="accent6" w:themeFillTint="99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72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College to Career (C2C)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Workability III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AEBG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Certificate Programs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JARC Job Access &amp; Reverse Commute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 w:rsidRPr="005E1EEC"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IVES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  <w:shd w:val="clear" w:color="auto" w:fill="A8D08D" w:themeFill="accent6" w:themeFillTint="99"/>
          </w:tcPr>
          <w:p w:rsidR="00865F26" w:rsidRPr="00074BD6" w:rsidRDefault="00865F26" w:rsidP="00865F26">
            <w:pPr>
              <w:rPr>
                <w:b/>
                <w:sz w:val="20"/>
                <w:szCs w:val="20"/>
              </w:rPr>
            </w:pPr>
            <w:r w:rsidRPr="00074BD6">
              <w:rPr>
                <w:b/>
                <w:sz w:val="20"/>
                <w:szCs w:val="20"/>
              </w:rPr>
              <w:t>UNIVERSITIES</w:t>
            </w:r>
          </w:p>
        </w:tc>
        <w:tc>
          <w:tcPr>
            <w:tcW w:w="528" w:type="dxa"/>
            <w:shd w:val="clear" w:color="auto" w:fill="A8D08D" w:themeFill="accent6" w:themeFillTint="99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 w:rsidRPr="002D7578">
              <w:rPr>
                <w:b/>
                <w:sz w:val="18"/>
                <w:szCs w:val="18"/>
              </w:rPr>
              <w:t>18+</w:t>
            </w:r>
          </w:p>
        </w:tc>
        <w:tc>
          <w:tcPr>
            <w:tcW w:w="105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72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  <w:shd w:val="clear" w:color="auto" w:fill="A8D08D" w:themeFill="accent6" w:themeFillTint="99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267F87" w:rsidRDefault="00865F26" w:rsidP="00865F26">
            <w:pPr>
              <w:pStyle w:val="ListParagraph"/>
              <w:numPr>
                <w:ilvl w:val="0"/>
                <w:numId w:val="6"/>
              </w:numPr>
              <w:ind w:left="165" w:hanging="180"/>
              <w:rPr>
                <w:sz w:val="20"/>
                <w:szCs w:val="20"/>
              </w:rPr>
            </w:pPr>
            <w:r w:rsidRPr="00267F87">
              <w:rPr>
                <w:sz w:val="20"/>
                <w:szCs w:val="20"/>
              </w:rPr>
              <w:t>Degree Programs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267F87" w:rsidRDefault="00865F26" w:rsidP="00865F26">
            <w:pPr>
              <w:pStyle w:val="ListParagraph"/>
              <w:numPr>
                <w:ilvl w:val="0"/>
                <w:numId w:val="6"/>
              </w:numPr>
              <w:ind w:left="16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Programs</w:t>
            </w:r>
          </w:p>
        </w:tc>
        <w:tc>
          <w:tcPr>
            <w:tcW w:w="528" w:type="dxa"/>
          </w:tcPr>
          <w:p w:rsidR="00865F26" w:rsidRPr="002D7578" w:rsidRDefault="00865F26" w:rsidP="00865F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jc w:val="center"/>
            </w:pPr>
          </w:p>
        </w:tc>
      </w:tr>
      <w:tr w:rsidR="00865F26" w:rsidTr="00880BE9">
        <w:tc>
          <w:tcPr>
            <w:tcW w:w="1752" w:type="dxa"/>
          </w:tcPr>
          <w:p w:rsidR="00865F26" w:rsidRPr="00074BD6" w:rsidRDefault="00865F26" w:rsidP="00865F2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20"/>
                <w:szCs w:val="20"/>
              </w:rPr>
            </w:pPr>
            <w:r w:rsidRPr="00074BD6">
              <w:rPr>
                <w:sz w:val="20"/>
                <w:szCs w:val="20"/>
              </w:rPr>
              <w:t>Workability IV</w:t>
            </w:r>
            <w:r w:rsidR="00A515CE">
              <w:rPr>
                <w:sz w:val="20"/>
                <w:szCs w:val="20"/>
              </w:rPr>
              <w:t>/DOR</w:t>
            </w:r>
          </w:p>
        </w:tc>
        <w:tc>
          <w:tcPr>
            <w:tcW w:w="528" w:type="dxa"/>
          </w:tcPr>
          <w:p w:rsidR="00865F26" w:rsidRDefault="00865F26" w:rsidP="00865F26">
            <w:r>
              <w:rPr>
                <w:sz w:val="18"/>
                <w:szCs w:val="18"/>
              </w:rPr>
              <w:t>18+</w:t>
            </w:r>
          </w:p>
        </w:tc>
        <w:tc>
          <w:tcPr>
            <w:tcW w:w="105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8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72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7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710" w:type="dxa"/>
          </w:tcPr>
          <w:p w:rsidR="00865F26" w:rsidRDefault="00865F26" w:rsidP="00865F26">
            <w:p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080" w:type="dxa"/>
          </w:tcPr>
          <w:p w:rsidR="00865F26" w:rsidRDefault="00865F26" w:rsidP="00865F26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</w:tbl>
    <w:p w:rsidR="00716240" w:rsidRPr="005308DB" w:rsidRDefault="005308DB" w:rsidP="005308DB">
      <w:pPr>
        <w:ind w:hanging="810"/>
        <w:rPr>
          <w:b/>
          <w:color w:val="0000FF"/>
        </w:rPr>
      </w:pPr>
      <w:r>
        <w:rPr>
          <w:b/>
          <w:color w:val="0000FF"/>
        </w:rPr>
        <w:t xml:space="preserve">OC WBL #8 </w:t>
      </w:r>
      <w:r w:rsidR="00865F26">
        <w:rPr>
          <w:b/>
          <w:color w:val="0000FF"/>
        </w:rPr>
        <w:t>1-</w:t>
      </w:r>
      <w:r w:rsidR="00A515CE">
        <w:rPr>
          <w:b/>
          <w:color w:val="0000FF"/>
        </w:rPr>
        <w:t>9</w:t>
      </w:r>
      <w:r w:rsidR="005E1EEC">
        <w:rPr>
          <w:b/>
          <w:color w:val="0000FF"/>
        </w:rPr>
        <w:t>-1</w:t>
      </w:r>
      <w:r w:rsidR="00A515CE">
        <w:rPr>
          <w:b/>
          <w:color w:val="0000FF"/>
        </w:rPr>
        <w:t>8</w:t>
      </w:r>
    </w:p>
    <w:sectPr w:rsidR="00716240" w:rsidRPr="005308DB" w:rsidSect="00A515CE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A32"/>
    <w:multiLevelType w:val="hybridMultilevel"/>
    <w:tmpl w:val="7674C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05D"/>
    <w:multiLevelType w:val="hybridMultilevel"/>
    <w:tmpl w:val="13DC3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48C8"/>
    <w:multiLevelType w:val="hybridMultilevel"/>
    <w:tmpl w:val="ED44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7464"/>
    <w:multiLevelType w:val="hybridMultilevel"/>
    <w:tmpl w:val="BDE2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6F1A"/>
    <w:multiLevelType w:val="hybridMultilevel"/>
    <w:tmpl w:val="17BC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52C5"/>
    <w:multiLevelType w:val="hybridMultilevel"/>
    <w:tmpl w:val="18CC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B40AD"/>
    <w:multiLevelType w:val="hybridMultilevel"/>
    <w:tmpl w:val="1F8EE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14BAF"/>
    <w:multiLevelType w:val="hybridMultilevel"/>
    <w:tmpl w:val="C51E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F3E7A"/>
    <w:multiLevelType w:val="hybridMultilevel"/>
    <w:tmpl w:val="0A6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6711"/>
    <w:multiLevelType w:val="hybridMultilevel"/>
    <w:tmpl w:val="852C4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B7F"/>
    <w:multiLevelType w:val="hybridMultilevel"/>
    <w:tmpl w:val="271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C2"/>
    <w:rsid w:val="00015F34"/>
    <w:rsid w:val="00016A53"/>
    <w:rsid w:val="00074BD6"/>
    <w:rsid w:val="00076E2D"/>
    <w:rsid w:val="001650B7"/>
    <w:rsid w:val="001A1D84"/>
    <w:rsid w:val="00261CBA"/>
    <w:rsid w:val="002668C3"/>
    <w:rsid w:val="00267F87"/>
    <w:rsid w:val="00283555"/>
    <w:rsid w:val="002C345F"/>
    <w:rsid w:val="002D7578"/>
    <w:rsid w:val="0033487F"/>
    <w:rsid w:val="005030C2"/>
    <w:rsid w:val="005308DB"/>
    <w:rsid w:val="005A0873"/>
    <w:rsid w:val="005A3D2E"/>
    <w:rsid w:val="005A6F0C"/>
    <w:rsid w:val="005E1EEC"/>
    <w:rsid w:val="00600029"/>
    <w:rsid w:val="00716240"/>
    <w:rsid w:val="007805D5"/>
    <w:rsid w:val="007845D0"/>
    <w:rsid w:val="00865F26"/>
    <w:rsid w:val="00880BE9"/>
    <w:rsid w:val="009E14FB"/>
    <w:rsid w:val="009E5A42"/>
    <w:rsid w:val="009E5BDE"/>
    <w:rsid w:val="009F7AF5"/>
    <w:rsid w:val="00A515CE"/>
    <w:rsid w:val="00AD1E94"/>
    <w:rsid w:val="00D64D48"/>
    <w:rsid w:val="00DB7DED"/>
    <w:rsid w:val="00DD60A1"/>
    <w:rsid w:val="00DE2AC7"/>
    <w:rsid w:val="00EC062E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56AB"/>
  <w15:chartTrackingRefBased/>
  <w15:docId w15:val="{306F5C75-D870-4210-AFE5-DD22608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cp:lastPrinted>2016-07-14T02:16:00Z</cp:lastPrinted>
  <dcterms:created xsi:type="dcterms:W3CDTF">2018-01-09T16:28:00Z</dcterms:created>
  <dcterms:modified xsi:type="dcterms:W3CDTF">2018-01-09T16:28:00Z</dcterms:modified>
</cp:coreProperties>
</file>