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9BD" w:rsidRDefault="00EF19BD" w:rsidP="00EF19BD">
      <w:pPr>
        <w:rPr>
          <w:color w:val="000000"/>
          <w:sz w:val="24"/>
          <w:szCs w:val="24"/>
        </w:rPr>
      </w:pPr>
    </w:p>
    <w:tbl>
      <w:tblPr>
        <w:tblW w:w="5481" w:type="pct"/>
        <w:tblCellSpacing w:w="15" w:type="dxa"/>
        <w:tblInd w:w="-450" w:type="dxa"/>
        <w:shd w:val="clear" w:color="auto" w:fill="E5E4E2"/>
        <w:tblCellMar>
          <w:left w:w="0" w:type="dxa"/>
          <w:right w:w="0" w:type="dxa"/>
        </w:tblCellMar>
        <w:tblLook w:val="04A0" w:firstRow="1" w:lastRow="0" w:firstColumn="1" w:lastColumn="0" w:noHBand="0" w:noVBand="1"/>
      </w:tblPr>
      <w:tblGrid>
        <w:gridCol w:w="10305"/>
      </w:tblGrid>
      <w:tr w:rsidR="00EF19BD" w:rsidTr="00EF19BD">
        <w:trPr>
          <w:tblCellSpacing w:w="15" w:type="dxa"/>
        </w:trPr>
        <w:tc>
          <w:tcPr>
            <w:tcW w:w="4971" w:type="pct"/>
            <w:shd w:val="clear" w:color="auto" w:fill="E5E4E2"/>
            <w:tcMar>
              <w:top w:w="15" w:type="dxa"/>
              <w:left w:w="15" w:type="dxa"/>
              <w:bottom w:w="15" w:type="dxa"/>
              <w:right w:w="15" w:type="dxa"/>
            </w:tcMar>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10215"/>
            </w:tblGrid>
            <w:tr w:rsidR="00EF19BD">
              <w:trPr>
                <w:tblCellSpacing w:w="0" w:type="dxa"/>
                <w:jc w:val="center"/>
              </w:trPr>
              <w:tc>
                <w:tcPr>
                  <w:tcW w:w="9000" w:type="dxa"/>
                  <w:shd w:val="clear" w:color="auto" w:fill="FFFFFF"/>
                  <w:vAlign w:val="center"/>
                  <w:hideMark/>
                </w:tcPr>
                <w:tbl>
                  <w:tblPr>
                    <w:tblW w:w="10215" w:type="dxa"/>
                    <w:jc w:val="center"/>
                    <w:tblCellSpacing w:w="0" w:type="dxa"/>
                    <w:tblCellMar>
                      <w:left w:w="0" w:type="dxa"/>
                      <w:right w:w="0" w:type="dxa"/>
                    </w:tblCellMar>
                    <w:tblLook w:val="04A0" w:firstRow="1" w:lastRow="0" w:firstColumn="1" w:lastColumn="0" w:noHBand="0" w:noVBand="1"/>
                  </w:tblPr>
                  <w:tblGrid>
                    <w:gridCol w:w="10215"/>
                  </w:tblGrid>
                  <w:tr w:rsidR="00EF19BD" w:rsidTr="00EF19BD">
                    <w:trPr>
                      <w:tblCellSpacing w:w="0" w:type="dxa"/>
                      <w:jc w:val="center"/>
                    </w:trPr>
                    <w:tc>
                      <w:tcPr>
                        <w:tcW w:w="10215" w:type="dxa"/>
                        <w:tcMar>
                          <w:top w:w="300" w:type="dxa"/>
                          <w:left w:w="300" w:type="dxa"/>
                          <w:bottom w:w="300" w:type="dxa"/>
                          <w:right w:w="300" w:type="dxa"/>
                        </w:tcMar>
                        <w:hideMark/>
                      </w:tcPr>
                      <w:p w:rsidR="00EF19BD" w:rsidRDefault="00EF19BD">
                        <w:pPr>
                          <w:jc w:val="center"/>
                        </w:pPr>
                        <w:r>
                          <w:rPr>
                            <w:noProof/>
                          </w:rPr>
                          <w:drawing>
                            <wp:inline distT="0" distB="0" distL="0" distR="0">
                              <wp:extent cx="5943600" cy="1307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p>
                    </w:tc>
                  </w:tr>
                  <w:tr w:rsidR="00EF19BD" w:rsidTr="00EF19BD">
                    <w:trPr>
                      <w:tblCellSpacing w:w="0" w:type="dxa"/>
                      <w:jc w:val="center"/>
                    </w:trPr>
                    <w:tc>
                      <w:tcPr>
                        <w:tcW w:w="10215" w:type="dxa"/>
                        <w:tcMar>
                          <w:top w:w="300" w:type="dxa"/>
                          <w:left w:w="300" w:type="dxa"/>
                          <w:bottom w:w="300" w:type="dxa"/>
                          <w:right w:w="300" w:type="dxa"/>
                        </w:tcMar>
                        <w:hideMark/>
                      </w:tcPr>
                      <w:p w:rsidR="00EF19BD" w:rsidRDefault="00EF19BD">
                        <w:r>
                          <w:rPr>
                            <w:rFonts w:ascii="Arial" w:hAnsi="Arial" w:cs="Arial"/>
                            <w:i/>
                            <w:iCs/>
                            <w:color w:val="000000"/>
                            <w:sz w:val="20"/>
                            <w:szCs w:val="20"/>
                          </w:rPr>
                          <w:t>California Association of School Business Officials</w:t>
                        </w:r>
                        <w:r>
                          <w:rPr>
                            <w:rFonts w:ascii="Arial" w:hAnsi="Arial" w:cs="Arial"/>
                            <w:i/>
                            <w:iCs/>
                            <w:color w:val="000000"/>
                            <w:sz w:val="20"/>
                            <w:szCs w:val="20"/>
                          </w:rPr>
                          <w:br/>
                          <w:t>2020-47</w:t>
                        </w:r>
                      </w:p>
                      <w:p w:rsidR="00EF19BD" w:rsidRDefault="00EF19BD">
                        <w:r>
                          <w:t> </w:t>
                        </w:r>
                      </w:p>
                      <w:p w:rsidR="00EF19BD" w:rsidRDefault="00EF19BD">
                        <w:pPr>
                          <w:jc w:val="center"/>
                        </w:pPr>
                        <w:r>
                          <w:rPr>
                            <w:rFonts w:ascii="Arial" w:hAnsi="Arial" w:cs="Arial"/>
                            <w:b/>
                            <w:bCs/>
                            <w:color w:val="000000"/>
                            <w:sz w:val="27"/>
                            <w:szCs w:val="27"/>
                          </w:rPr>
                          <w:t xml:space="preserve">CDPH Releases Guidance for </w:t>
                        </w:r>
                        <w:r>
                          <w:rPr>
                            <w:rFonts w:ascii="Arial" w:hAnsi="Arial" w:cs="Arial"/>
                            <w:b/>
                            <w:bCs/>
                            <w:color w:val="000000"/>
                            <w:sz w:val="27"/>
                            <w:szCs w:val="27"/>
                          </w:rPr>
                          <w:br/>
                          <w:t>In-Person Supervision of Small Cohorts</w:t>
                        </w:r>
                        <w:r>
                          <w:rPr>
                            <w:rFonts w:ascii="Arial" w:hAnsi="Arial" w:cs="Arial"/>
                            <w:color w:val="000000"/>
                          </w:rPr>
                          <w:br/>
                        </w:r>
                        <w:r>
                          <w:rPr>
                            <w:rFonts w:ascii="Arial" w:hAnsi="Arial" w:cs="Arial"/>
                            <w:i/>
                            <w:iCs/>
                            <w:color w:val="000000"/>
                            <w:sz w:val="24"/>
                            <w:szCs w:val="24"/>
                          </w:rPr>
                          <w:t xml:space="preserve">By Sara C. </w:t>
                        </w:r>
                        <w:proofErr w:type="spellStart"/>
                        <w:r>
                          <w:rPr>
                            <w:rFonts w:ascii="Arial" w:hAnsi="Arial" w:cs="Arial"/>
                            <w:i/>
                            <w:iCs/>
                            <w:color w:val="000000"/>
                            <w:sz w:val="24"/>
                            <w:szCs w:val="24"/>
                          </w:rPr>
                          <w:t>Bachez</w:t>
                        </w:r>
                        <w:proofErr w:type="spellEnd"/>
                        <w:r>
                          <w:rPr>
                            <w:rFonts w:ascii="Arial" w:hAnsi="Arial" w:cs="Arial"/>
                            <w:i/>
                            <w:iCs/>
                            <w:color w:val="000000"/>
                            <w:sz w:val="24"/>
                            <w:szCs w:val="24"/>
                          </w:rPr>
                          <w:t xml:space="preserve"> and Elizabeth Esquivel, Governmental Relations</w:t>
                        </w:r>
                      </w:p>
                      <w:p w:rsidR="00EF19BD" w:rsidRDefault="00EF19BD">
                        <w:r>
                          <w:t> </w:t>
                        </w:r>
                      </w:p>
                      <w:p w:rsidR="00EF19BD" w:rsidRDefault="00EF19BD">
                        <w:r>
                          <w:rPr>
                            <w:rFonts w:ascii="Arial" w:hAnsi="Arial" w:cs="Arial"/>
                            <w:color w:val="000000"/>
                            <w:sz w:val="24"/>
                            <w:szCs w:val="24"/>
                          </w:rPr>
                          <w:t>This afternoon, August 25, 2020, the California Department of Public Health (CDPH) released the following guidance pertaining to in-person child supervision and limited instruction, returning to work or school following COVID-19 diagnosis, and case and contact management within child care facilities. </w:t>
                        </w:r>
                      </w:p>
                      <w:p w:rsidR="00EF19BD" w:rsidRDefault="00EF19BD">
                        <w:pPr>
                          <w:numPr>
                            <w:ilvl w:val="0"/>
                            <w:numId w:val="1"/>
                          </w:numPr>
                          <w:spacing w:before="100" w:beforeAutospacing="1" w:after="100" w:afterAutospacing="1"/>
                          <w:rPr>
                            <w:rFonts w:eastAsia="Times New Roman"/>
                          </w:rPr>
                        </w:pPr>
                        <w:hyperlink r:id="rId6" w:tgtFrame="_blank" w:history="1">
                          <w:r>
                            <w:rPr>
                              <w:rStyle w:val="Hyperlink"/>
                              <w:rFonts w:ascii="Arial" w:eastAsia="Times New Roman" w:hAnsi="Arial" w:cs="Arial"/>
                              <w:sz w:val="24"/>
                              <w:szCs w:val="24"/>
                            </w:rPr>
                            <w:t>Guidance for Small Cohort/Groups of Children and Youth</w:t>
                          </w:r>
                        </w:hyperlink>
                        <w:r>
                          <w:rPr>
                            <w:rFonts w:eastAsia="Times New Roman"/>
                          </w:rPr>
                          <w:t xml:space="preserve"> </w:t>
                        </w:r>
                      </w:p>
                      <w:p w:rsidR="00EF19BD" w:rsidRDefault="00EF19BD">
                        <w:pPr>
                          <w:numPr>
                            <w:ilvl w:val="0"/>
                            <w:numId w:val="1"/>
                          </w:numPr>
                          <w:spacing w:before="100" w:beforeAutospacing="1" w:after="100" w:afterAutospacing="1"/>
                          <w:rPr>
                            <w:rFonts w:eastAsia="Times New Roman"/>
                          </w:rPr>
                        </w:pPr>
                        <w:hyperlink r:id="rId7" w:tgtFrame="_blank" w:history="1">
                          <w:r>
                            <w:rPr>
                              <w:rStyle w:val="Hyperlink"/>
                              <w:rFonts w:ascii="Arial" w:eastAsia="Times New Roman" w:hAnsi="Arial" w:cs="Arial"/>
                              <w:sz w:val="24"/>
                              <w:szCs w:val="24"/>
                            </w:rPr>
                            <w:t>Guidance on Returning to Work or School Following COVID-19 Diagnosis</w:t>
                          </w:r>
                        </w:hyperlink>
                        <w:r>
                          <w:rPr>
                            <w:rFonts w:eastAsia="Times New Roman"/>
                          </w:rPr>
                          <w:t xml:space="preserve"> </w:t>
                        </w:r>
                      </w:p>
                      <w:p w:rsidR="00EF19BD" w:rsidRDefault="00EF19BD">
                        <w:pPr>
                          <w:numPr>
                            <w:ilvl w:val="0"/>
                            <w:numId w:val="1"/>
                          </w:numPr>
                          <w:spacing w:before="100" w:beforeAutospacing="1" w:after="100" w:afterAutospacing="1"/>
                          <w:rPr>
                            <w:rFonts w:eastAsia="Times New Roman"/>
                          </w:rPr>
                        </w:pPr>
                        <w:hyperlink r:id="rId8" w:tgtFrame="_blank" w:history="1">
                          <w:r>
                            <w:rPr>
                              <w:rStyle w:val="Hyperlink"/>
                              <w:rFonts w:ascii="Arial" w:eastAsia="Times New Roman" w:hAnsi="Arial" w:cs="Arial"/>
                              <w:sz w:val="24"/>
                              <w:szCs w:val="24"/>
                            </w:rPr>
                            <w:t xml:space="preserve">COVID-19 Case and Contact Management within Child Care Facilities </w:t>
                          </w:r>
                        </w:hyperlink>
                      </w:p>
                      <w:p w:rsidR="00EF19BD" w:rsidRDefault="00EF19BD">
                        <w:pPr>
                          <w:numPr>
                            <w:ilvl w:val="0"/>
                            <w:numId w:val="1"/>
                          </w:numPr>
                          <w:spacing w:before="100" w:beforeAutospacing="1" w:after="100" w:afterAutospacing="1"/>
                          <w:rPr>
                            <w:rFonts w:eastAsia="Times New Roman"/>
                          </w:rPr>
                        </w:pPr>
                        <w:hyperlink r:id="rId9" w:tgtFrame="_blank" w:history="1">
                          <w:r>
                            <w:rPr>
                              <w:rStyle w:val="Hyperlink"/>
                              <w:rFonts w:ascii="Arial" w:eastAsia="Times New Roman" w:hAnsi="Arial" w:cs="Arial"/>
                              <w:sz w:val="24"/>
                              <w:szCs w:val="24"/>
                            </w:rPr>
                            <w:t>CDPH Providing Targeted, Specialized Support and Services at Schools</w:t>
                          </w:r>
                        </w:hyperlink>
                        <w:r>
                          <w:rPr>
                            <w:rFonts w:eastAsia="Times New Roman"/>
                          </w:rPr>
                          <w:t xml:space="preserve"> </w:t>
                        </w:r>
                      </w:p>
                      <w:p w:rsidR="00EF19BD" w:rsidRDefault="00EF19BD">
                        <w:r>
                          <w:rPr>
                            <w:rStyle w:val="Strong"/>
                            <w:rFonts w:ascii="Arial" w:hAnsi="Arial" w:cs="Arial"/>
                            <w:color w:val="000000"/>
                            <w:sz w:val="24"/>
                            <w:szCs w:val="24"/>
                          </w:rPr>
                          <w:t>Returning to School After a Diagnosis</w:t>
                        </w:r>
                        <w:r>
                          <w:rPr>
                            <w:rFonts w:ascii="Arial" w:hAnsi="Arial" w:cs="Arial"/>
                            <w:b/>
                            <w:bCs/>
                            <w:color w:val="000000"/>
                            <w:sz w:val="24"/>
                            <w:szCs w:val="24"/>
                          </w:rPr>
                          <w:br/>
                        </w:r>
                        <w:r>
                          <w:rPr>
                            <w:rFonts w:ascii="Arial" w:hAnsi="Arial" w:cs="Arial"/>
                            <w:b/>
                            <w:bCs/>
                            <w:color w:val="000000"/>
                            <w:sz w:val="24"/>
                            <w:szCs w:val="24"/>
                          </w:rPr>
                          <w:br/>
                        </w:r>
                        <w:r>
                          <w:rPr>
                            <w:rFonts w:ascii="Arial" w:hAnsi="Arial" w:cs="Arial"/>
                            <w:color w:val="000000"/>
                            <w:sz w:val="24"/>
                            <w:szCs w:val="24"/>
                          </w:rPr>
                          <w:t>Individuals who have tested positive for SARS-CoV-2, the virus that causes COVID-19, and have had symptoms, may return to work or school when:</w:t>
                        </w:r>
                      </w:p>
                      <w:p w:rsidR="00EF19BD" w:rsidRDefault="00EF19BD">
                        <w:pPr>
                          <w:numPr>
                            <w:ilvl w:val="0"/>
                            <w:numId w:val="2"/>
                          </w:numPr>
                          <w:spacing w:before="100" w:beforeAutospacing="1" w:after="100" w:afterAutospacing="1"/>
                          <w:rPr>
                            <w:rFonts w:eastAsia="Times New Roman"/>
                          </w:rPr>
                        </w:pPr>
                        <w:r>
                          <w:rPr>
                            <w:rFonts w:ascii="Arial" w:eastAsia="Times New Roman" w:hAnsi="Arial" w:cs="Arial"/>
                            <w:color w:val="000000"/>
                            <w:sz w:val="24"/>
                            <w:szCs w:val="24"/>
                          </w:rPr>
                          <w:t>At least 10 days have passed since symptoms first appeared, and</w:t>
                        </w:r>
                        <w:r>
                          <w:rPr>
                            <w:rFonts w:eastAsia="Times New Roman"/>
                          </w:rPr>
                          <w:t xml:space="preserve"> </w:t>
                        </w:r>
                      </w:p>
                      <w:p w:rsidR="00EF19BD" w:rsidRDefault="00EF19BD">
                        <w:pPr>
                          <w:numPr>
                            <w:ilvl w:val="0"/>
                            <w:numId w:val="2"/>
                          </w:numPr>
                          <w:spacing w:before="100" w:beforeAutospacing="1" w:after="100" w:afterAutospacing="1"/>
                          <w:rPr>
                            <w:rFonts w:eastAsia="Times New Roman"/>
                          </w:rPr>
                        </w:pPr>
                        <w:r>
                          <w:rPr>
                            <w:rFonts w:ascii="Arial" w:eastAsia="Times New Roman" w:hAnsi="Arial" w:cs="Arial"/>
                            <w:color w:val="000000"/>
                            <w:sz w:val="24"/>
                            <w:szCs w:val="24"/>
                          </w:rPr>
                          <w:t>At least 24 hours have passed with no fever (without using fever-reducing medication), and</w:t>
                        </w:r>
                        <w:r>
                          <w:rPr>
                            <w:rFonts w:eastAsia="Times New Roman"/>
                          </w:rPr>
                          <w:t xml:space="preserve"> </w:t>
                        </w:r>
                      </w:p>
                      <w:p w:rsidR="00EF19BD" w:rsidRDefault="00EF19BD">
                        <w:pPr>
                          <w:numPr>
                            <w:ilvl w:val="0"/>
                            <w:numId w:val="2"/>
                          </w:numPr>
                          <w:spacing w:before="100" w:beforeAutospacing="1" w:after="100" w:afterAutospacing="1"/>
                          <w:rPr>
                            <w:rFonts w:eastAsia="Times New Roman"/>
                          </w:rPr>
                        </w:pPr>
                        <w:r>
                          <w:rPr>
                            <w:rFonts w:ascii="Arial" w:eastAsia="Times New Roman" w:hAnsi="Arial" w:cs="Arial"/>
                            <w:color w:val="000000"/>
                            <w:sz w:val="24"/>
                            <w:szCs w:val="24"/>
                          </w:rPr>
                          <w:t>Other symptoms have improved.</w:t>
                        </w:r>
                        <w:r>
                          <w:rPr>
                            <w:rFonts w:eastAsia="Times New Roman"/>
                          </w:rPr>
                          <w:t xml:space="preserve"> </w:t>
                        </w:r>
                      </w:p>
                      <w:p w:rsidR="00EF19BD" w:rsidRDefault="00EF19BD">
                        <w:r>
                          <w:rPr>
                            <w:rFonts w:ascii="Arial" w:hAnsi="Arial" w:cs="Arial"/>
                            <w:color w:val="000000"/>
                            <w:sz w:val="24"/>
                            <w:szCs w:val="24"/>
                          </w:rPr>
                          <w:t>Individuals who have tested positive for SARS-CoV-2, and have never developed symptoms, may return to work or school 10 days after the date of their first positive test.</w:t>
                        </w:r>
                        <w:r>
                          <w:rPr>
                            <w:rFonts w:ascii="Arial" w:hAnsi="Arial" w:cs="Arial"/>
                            <w:color w:val="000000"/>
                            <w:sz w:val="24"/>
                            <w:szCs w:val="24"/>
                          </w:rPr>
                          <w:br/>
                        </w:r>
                        <w:r>
                          <w:rPr>
                            <w:rFonts w:ascii="Arial" w:hAnsi="Arial" w:cs="Arial"/>
                            <w:color w:val="000000"/>
                            <w:sz w:val="24"/>
                            <w:szCs w:val="24"/>
                          </w:rPr>
                          <w:br/>
                          <w:t>The CDPH does not recommend requiring a negative test for SARS-CoV-2 to return to work or school. Instead, employers and schools should follow the time- and symptom-based approach in determining when individuals can return following a COVID-19 diagnosis. The department guidance recognizes that return work and school guidance may differ in certain local health jurisdictions, and individuals consult with and follow their local health departments guidance.</w:t>
                        </w:r>
                      </w:p>
                      <w:p w:rsidR="00EF19BD" w:rsidRDefault="00EF19BD">
                        <w:r>
                          <w:rPr>
                            <w:rStyle w:val="Strong"/>
                            <w:rFonts w:ascii="Arial" w:hAnsi="Arial" w:cs="Arial"/>
                            <w:color w:val="000000"/>
                            <w:sz w:val="24"/>
                            <w:szCs w:val="24"/>
                          </w:rPr>
                          <w:t>Small Cohorts of Students On-Campus</w:t>
                        </w:r>
                        <w:r>
                          <w:rPr>
                            <w:rFonts w:ascii="Arial" w:hAnsi="Arial" w:cs="Arial"/>
                            <w:b/>
                            <w:bCs/>
                            <w:color w:val="000000"/>
                            <w:sz w:val="24"/>
                            <w:szCs w:val="24"/>
                          </w:rPr>
                          <w:br/>
                        </w:r>
                        <w:r>
                          <w:rPr>
                            <w:rFonts w:ascii="Arial" w:hAnsi="Arial" w:cs="Arial"/>
                            <w:b/>
                            <w:bCs/>
                            <w:color w:val="000000"/>
                            <w:sz w:val="24"/>
                            <w:szCs w:val="24"/>
                          </w:rPr>
                          <w:br/>
                        </w:r>
                        <w:r>
                          <w:rPr>
                            <w:rFonts w:ascii="Arial" w:hAnsi="Arial" w:cs="Arial"/>
                            <w:color w:val="000000"/>
                            <w:sz w:val="24"/>
                            <w:szCs w:val="24"/>
                          </w:rPr>
                          <w:lastRenderedPageBreak/>
                          <w:t>The CDPH guidance provides the appropriate cohort size and staffing considerations for in-person child supervision and facilitation of distance learning in small group environments, and how to understand the required health and safety practices needed to prevent the spread of COVID-19 in their settings.</w:t>
                        </w:r>
                        <w:r>
                          <w:rPr>
                            <w:rFonts w:ascii="Arial" w:hAnsi="Arial" w:cs="Arial"/>
                            <w:color w:val="000000"/>
                            <w:sz w:val="24"/>
                            <w:szCs w:val="24"/>
                          </w:rPr>
                          <w:br/>
                        </w:r>
                        <w:r>
                          <w:rPr>
                            <w:rFonts w:ascii="Arial" w:hAnsi="Arial" w:cs="Arial"/>
                            <w:color w:val="000000"/>
                            <w:sz w:val="24"/>
                            <w:szCs w:val="24"/>
                          </w:rPr>
                          <w:br/>
                        </w:r>
                        <w:r>
                          <w:rPr>
                            <w:rStyle w:val="Emphasis"/>
                            <w:rFonts w:ascii="Arial" w:hAnsi="Arial" w:cs="Arial"/>
                            <w:b/>
                            <w:bCs/>
                            <w:color w:val="000000"/>
                            <w:sz w:val="24"/>
                            <w:szCs w:val="24"/>
                          </w:rPr>
                          <w:t xml:space="preserve">Cohort Setting </w:t>
                        </w:r>
                      </w:p>
                      <w:p w:rsidR="00EF19BD" w:rsidRDefault="00EF19BD">
                        <w:pPr>
                          <w:numPr>
                            <w:ilvl w:val="0"/>
                            <w:numId w:val="3"/>
                          </w:numPr>
                          <w:spacing w:before="100" w:beforeAutospacing="1" w:after="100" w:afterAutospacing="1"/>
                          <w:rPr>
                            <w:rFonts w:eastAsia="Times New Roman"/>
                          </w:rPr>
                        </w:pPr>
                        <w:r>
                          <w:rPr>
                            <w:rFonts w:ascii="Arial" w:eastAsia="Times New Roman" w:hAnsi="Arial" w:cs="Arial"/>
                            <w:color w:val="000000"/>
                            <w:sz w:val="24"/>
                            <w:szCs w:val="24"/>
                          </w:rPr>
                          <w:t>No more than 14 children in a cohort, even when all children are not participating at the same time.</w:t>
                        </w:r>
                        <w:r>
                          <w:rPr>
                            <w:rFonts w:eastAsia="Times New Roman"/>
                          </w:rPr>
                          <w:t xml:space="preserve"> </w:t>
                        </w:r>
                      </w:p>
                      <w:p w:rsidR="00EF19BD" w:rsidRDefault="00EF19BD">
                        <w:pPr>
                          <w:numPr>
                            <w:ilvl w:val="0"/>
                            <w:numId w:val="3"/>
                          </w:numPr>
                          <w:spacing w:before="100" w:beforeAutospacing="1" w:after="100" w:afterAutospacing="1"/>
                          <w:rPr>
                            <w:rFonts w:eastAsia="Times New Roman"/>
                          </w:rPr>
                        </w:pPr>
                        <w:r>
                          <w:rPr>
                            <w:rFonts w:ascii="Arial" w:eastAsia="Times New Roman" w:hAnsi="Arial" w:cs="Arial"/>
                            <w:color w:val="000000"/>
                            <w:sz w:val="24"/>
                            <w:szCs w:val="24"/>
                          </w:rPr>
                          <w:t>Limited to 2 supervising adults per cohort.</w:t>
                        </w:r>
                        <w:r>
                          <w:rPr>
                            <w:rFonts w:eastAsia="Times New Roman"/>
                          </w:rPr>
                          <w:t xml:space="preserve"> </w:t>
                        </w:r>
                      </w:p>
                      <w:p w:rsidR="00EF19BD" w:rsidRDefault="00EF19BD">
                        <w:pPr>
                          <w:numPr>
                            <w:ilvl w:val="0"/>
                            <w:numId w:val="3"/>
                          </w:numPr>
                          <w:spacing w:before="100" w:beforeAutospacing="1" w:after="100" w:afterAutospacing="1"/>
                          <w:rPr>
                            <w:rFonts w:eastAsia="Times New Roman"/>
                          </w:rPr>
                        </w:pPr>
                        <w:r>
                          <w:rPr>
                            <w:rFonts w:ascii="Arial" w:eastAsia="Times New Roman" w:hAnsi="Arial" w:cs="Arial"/>
                            <w:color w:val="000000"/>
                            <w:sz w:val="24"/>
                            <w:szCs w:val="24"/>
                          </w:rPr>
                          <w:t xml:space="preserve">Adult to child ratios continue to apply for licensed </w:t>
                        </w:r>
                        <w:proofErr w:type="gramStart"/>
                        <w:r>
                          <w:rPr>
                            <w:rFonts w:ascii="Arial" w:eastAsia="Times New Roman" w:hAnsi="Arial" w:cs="Arial"/>
                            <w:color w:val="000000"/>
                            <w:sz w:val="24"/>
                            <w:szCs w:val="24"/>
                          </w:rPr>
                          <w:t>child care</w:t>
                        </w:r>
                        <w:proofErr w:type="gramEnd"/>
                        <w:r>
                          <w:rPr>
                            <w:rFonts w:ascii="Arial" w:eastAsia="Times New Roman" w:hAnsi="Arial" w:cs="Arial"/>
                            <w:color w:val="000000"/>
                            <w:sz w:val="24"/>
                            <w:szCs w:val="24"/>
                          </w:rPr>
                          <w:t xml:space="preserve"> programs.</w:t>
                        </w:r>
                        <w:r>
                          <w:rPr>
                            <w:rFonts w:eastAsia="Times New Roman"/>
                          </w:rPr>
                          <w:t xml:space="preserve"> </w:t>
                        </w:r>
                      </w:p>
                      <w:p w:rsidR="00EF19BD" w:rsidRDefault="00EF19BD">
                        <w:pPr>
                          <w:numPr>
                            <w:ilvl w:val="0"/>
                            <w:numId w:val="3"/>
                          </w:numPr>
                          <w:spacing w:before="100" w:beforeAutospacing="1" w:after="100" w:afterAutospacing="1"/>
                          <w:rPr>
                            <w:rFonts w:eastAsia="Times New Roman"/>
                          </w:rPr>
                        </w:pPr>
                        <w:r>
                          <w:rPr>
                            <w:rFonts w:ascii="Arial" w:eastAsia="Times New Roman" w:hAnsi="Arial" w:cs="Arial"/>
                            <w:color w:val="000000"/>
                            <w:sz w:val="24"/>
                            <w:szCs w:val="24"/>
                          </w:rPr>
                          <w:t xml:space="preserve">Cohorts can be divided into smaller </w:t>
                        </w:r>
                        <w:proofErr w:type="gramStart"/>
                        <w:r>
                          <w:rPr>
                            <w:rFonts w:ascii="Arial" w:eastAsia="Times New Roman" w:hAnsi="Arial" w:cs="Arial"/>
                            <w:color w:val="000000"/>
                            <w:sz w:val="24"/>
                            <w:szCs w:val="24"/>
                          </w:rPr>
                          <w:t>groups, but</w:t>
                        </w:r>
                        <w:proofErr w:type="gramEnd"/>
                        <w:r>
                          <w:rPr>
                            <w:rFonts w:ascii="Arial" w:eastAsia="Times New Roman" w:hAnsi="Arial" w:cs="Arial"/>
                            <w:color w:val="000000"/>
                            <w:sz w:val="24"/>
                            <w:szCs w:val="24"/>
                          </w:rPr>
                          <w:t xml:space="preserve"> continue to maintain 14-to-2 ratio.</w:t>
                        </w:r>
                        <w:r>
                          <w:rPr>
                            <w:rFonts w:eastAsia="Times New Roman"/>
                          </w:rPr>
                          <w:t xml:space="preserve"> </w:t>
                        </w:r>
                      </w:p>
                      <w:p w:rsidR="00EF19BD" w:rsidRDefault="00EF19BD">
                        <w:pPr>
                          <w:numPr>
                            <w:ilvl w:val="0"/>
                            <w:numId w:val="3"/>
                          </w:numPr>
                          <w:spacing w:before="100" w:beforeAutospacing="1" w:after="100" w:afterAutospacing="1"/>
                          <w:rPr>
                            <w:rFonts w:eastAsia="Times New Roman"/>
                          </w:rPr>
                        </w:pPr>
                        <w:r>
                          <w:rPr>
                            <w:rFonts w:ascii="Arial" w:eastAsia="Times New Roman" w:hAnsi="Arial" w:cs="Arial"/>
                            <w:color w:val="000000"/>
                            <w:sz w:val="24"/>
                            <w:szCs w:val="24"/>
                          </w:rPr>
                          <w:t>Prevent interactions between cohorts.</w:t>
                        </w:r>
                        <w:r>
                          <w:rPr>
                            <w:rFonts w:eastAsia="Times New Roman"/>
                          </w:rPr>
                          <w:t xml:space="preserve"> </w:t>
                        </w:r>
                      </w:p>
                      <w:p w:rsidR="00EF19BD" w:rsidRDefault="00EF19BD">
                        <w:pPr>
                          <w:numPr>
                            <w:ilvl w:val="0"/>
                            <w:numId w:val="3"/>
                          </w:numPr>
                          <w:spacing w:before="100" w:beforeAutospacing="1" w:after="100" w:afterAutospacing="1"/>
                          <w:rPr>
                            <w:rFonts w:eastAsia="Times New Roman"/>
                          </w:rPr>
                        </w:pPr>
                        <w:r>
                          <w:rPr>
                            <w:rFonts w:ascii="Arial" w:eastAsia="Times New Roman" w:hAnsi="Arial" w:cs="Arial"/>
                            <w:color w:val="000000"/>
                            <w:sz w:val="24"/>
                            <w:szCs w:val="24"/>
                          </w:rPr>
                          <w:t>One-to-one specialized services can be provided to a child by a support service provider that is not part of the child’s cohort.</w:t>
                        </w:r>
                        <w:r>
                          <w:rPr>
                            <w:rFonts w:eastAsia="Times New Roman"/>
                          </w:rPr>
                          <w:t xml:space="preserve"> </w:t>
                        </w:r>
                      </w:p>
                      <w:p w:rsidR="00EF19BD" w:rsidRDefault="00EF19BD">
                        <w:pPr>
                          <w:numPr>
                            <w:ilvl w:val="0"/>
                            <w:numId w:val="3"/>
                          </w:numPr>
                          <w:spacing w:before="100" w:beforeAutospacing="1" w:after="100" w:afterAutospacing="1"/>
                          <w:rPr>
                            <w:rFonts w:eastAsia="Times New Roman"/>
                          </w:rPr>
                        </w:pPr>
                        <w:r>
                          <w:rPr>
                            <w:rFonts w:ascii="Arial" w:eastAsia="Times New Roman" w:hAnsi="Arial" w:cs="Arial"/>
                            <w:color w:val="000000"/>
                            <w:sz w:val="24"/>
                            <w:szCs w:val="24"/>
                          </w:rPr>
                          <w:t xml:space="preserve">Specialized services </w:t>
                        </w:r>
                        <w:proofErr w:type="gramStart"/>
                        <w:r>
                          <w:rPr>
                            <w:rFonts w:ascii="Arial" w:eastAsia="Times New Roman" w:hAnsi="Arial" w:cs="Arial"/>
                            <w:color w:val="000000"/>
                            <w:sz w:val="24"/>
                            <w:szCs w:val="24"/>
                          </w:rPr>
                          <w:t>includes</w:t>
                        </w:r>
                        <w:proofErr w:type="gramEnd"/>
                        <w:r>
                          <w:rPr>
                            <w:rFonts w:ascii="Arial" w:eastAsia="Times New Roman" w:hAnsi="Arial" w:cs="Arial"/>
                            <w:color w:val="000000"/>
                            <w:sz w:val="24"/>
                            <w:szCs w:val="24"/>
                          </w:rPr>
                          <w:t>, but not limited to, occupational therapy services, speech and language services, and other medical, behavioral services, or educational support services as part of a targeted intervention strategy.</w:t>
                        </w:r>
                        <w:r>
                          <w:rPr>
                            <w:rFonts w:eastAsia="Times New Roman"/>
                          </w:rPr>
                          <w:t xml:space="preserve"> </w:t>
                        </w:r>
                      </w:p>
                      <w:p w:rsidR="00EF19BD" w:rsidRDefault="00EF19BD">
                        <w:pPr>
                          <w:numPr>
                            <w:ilvl w:val="0"/>
                            <w:numId w:val="3"/>
                          </w:numPr>
                          <w:spacing w:before="100" w:beforeAutospacing="1" w:after="100" w:afterAutospacing="1"/>
                          <w:rPr>
                            <w:rFonts w:eastAsia="Times New Roman"/>
                          </w:rPr>
                        </w:pPr>
                        <w:r>
                          <w:rPr>
                            <w:rFonts w:ascii="Arial" w:eastAsia="Times New Roman" w:hAnsi="Arial" w:cs="Arial"/>
                            <w:color w:val="000000"/>
                            <w:sz w:val="24"/>
                            <w:szCs w:val="24"/>
                          </w:rPr>
                          <w:t xml:space="preserve">Services must be provided consistent with the </w:t>
                        </w:r>
                        <w:hyperlink r:id="rId10" w:tgtFrame="_blank" w:history="1">
                          <w:r>
                            <w:rPr>
                              <w:rStyle w:val="Hyperlink"/>
                              <w:rFonts w:ascii="Arial" w:eastAsia="Times New Roman" w:hAnsi="Arial" w:cs="Arial"/>
                              <w:sz w:val="24"/>
                              <w:szCs w:val="24"/>
                            </w:rPr>
                            <w:t>industry guidance for Limited Services</w:t>
                          </w:r>
                        </w:hyperlink>
                        <w:r>
                          <w:rPr>
                            <w:rFonts w:ascii="Arial" w:eastAsia="Times New Roman" w:hAnsi="Arial" w:cs="Arial"/>
                            <w:color w:val="000000"/>
                            <w:sz w:val="24"/>
                            <w:szCs w:val="24"/>
                          </w:rPr>
                          <w:t>.</w:t>
                        </w:r>
                        <w:r>
                          <w:rPr>
                            <w:rFonts w:eastAsia="Times New Roman"/>
                          </w:rPr>
                          <w:t xml:space="preserve"> </w:t>
                        </w:r>
                      </w:p>
                      <w:p w:rsidR="00EF19BD" w:rsidRDefault="00EF19BD">
                        <w:r>
                          <w:rPr>
                            <w:rStyle w:val="Emphasis"/>
                            <w:rFonts w:ascii="Arial" w:hAnsi="Arial" w:cs="Arial"/>
                            <w:b/>
                            <w:bCs/>
                            <w:color w:val="000000"/>
                            <w:sz w:val="24"/>
                            <w:szCs w:val="24"/>
                          </w:rPr>
                          <w:t>Staff Considerations</w:t>
                        </w:r>
                      </w:p>
                      <w:p w:rsidR="00EF19BD" w:rsidRDefault="00EF19BD">
                        <w:pPr>
                          <w:numPr>
                            <w:ilvl w:val="0"/>
                            <w:numId w:val="4"/>
                          </w:numPr>
                          <w:spacing w:before="100" w:beforeAutospacing="1" w:after="100" w:afterAutospacing="1"/>
                          <w:rPr>
                            <w:rFonts w:eastAsia="Times New Roman"/>
                          </w:rPr>
                        </w:pPr>
                        <w:r>
                          <w:rPr>
                            <w:rFonts w:ascii="Arial" w:eastAsia="Times New Roman" w:hAnsi="Arial" w:cs="Arial"/>
                            <w:color w:val="000000"/>
                            <w:sz w:val="24"/>
                            <w:szCs w:val="24"/>
                          </w:rPr>
                          <w:t>Maintain supervising adults to one assigned cohort, and substitutes that cover short-term staff absences must only work with one cohort of children per day.</w:t>
                        </w:r>
                        <w:r>
                          <w:rPr>
                            <w:rFonts w:eastAsia="Times New Roman"/>
                          </w:rPr>
                          <w:t xml:space="preserve"> </w:t>
                        </w:r>
                      </w:p>
                      <w:p w:rsidR="00EF19BD" w:rsidRDefault="00EF19BD">
                        <w:pPr>
                          <w:numPr>
                            <w:ilvl w:val="0"/>
                            <w:numId w:val="4"/>
                          </w:numPr>
                          <w:spacing w:before="100" w:beforeAutospacing="1" w:after="100" w:afterAutospacing="1"/>
                          <w:rPr>
                            <w:rFonts w:eastAsia="Times New Roman"/>
                          </w:rPr>
                        </w:pPr>
                        <w:r>
                          <w:rPr>
                            <w:rFonts w:ascii="Arial" w:eastAsia="Times New Roman" w:hAnsi="Arial" w:cs="Arial"/>
                            <w:color w:val="000000"/>
                            <w:sz w:val="24"/>
                            <w:szCs w:val="24"/>
                          </w:rPr>
                          <w:t>Staff meetings with adults from different cohorts must be conducted remotely, outdoors, or in a large room in which all providers wear cloth face coverings and maintain at least 6 feet distance from other providers. Outdoor meetings and meetings in large rooms with the windows open are preferred.</w:t>
                        </w:r>
                        <w:r>
                          <w:rPr>
                            <w:rFonts w:eastAsia="Times New Roman"/>
                          </w:rPr>
                          <w:t xml:space="preserve"> </w:t>
                        </w:r>
                      </w:p>
                      <w:p w:rsidR="00EF19BD" w:rsidRDefault="00EF19BD">
                        <w:r>
                          <w:rPr>
                            <w:rFonts w:ascii="Arial" w:hAnsi="Arial" w:cs="Arial"/>
                            <w:color w:val="000000"/>
                            <w:sz w:val="24"/>
                            <w:szCs w:val="24"/>
                          </w:rPr>
                          <w:t>The guidance continues to recommend physical distancing and use of face coverings to decrease the risk of COVID-19.</w:t>
                        </w:r>
                      </w:p>
                      <w:p w:rsidR="00EF19BD" w:rsidRDefault="00EF19BD">
                        <w:r>
                          <w:rPr>
                            <w:rStyle w:val="Strong"/>
                            <w:rFonts w:ascii="Arial" w:hAnsi="Arial" w:cs="Arial"/>
                            <w:color w:val="000000"/>
                            <w:sz w:val="24"/>
                            <w:szCs w:val="24"/>
                          </w:rPr>
                          <w:t xml:space="preserve">COVID-19 Case and Contact Management with Child Care Facilities </w:t>
                        </w:r>
                        <w:r>
                          <w:rPr>
                            <w:rFonts w:ascii="Arial" w:hAnsi="Arial" w:cs="Arial"/>
                            <w:b/>
                            <w:bCs/>
                            <w:color w:val="000000"/>
                            <w:sz w:val="24"/>
                            <w:szCs w:val="24"/>
                          </w:rPr>
                          <w:br/>
                        </w:r>
                        <w:r>
                          <w:rPr>
                            <w:rFonts w:ascii="Arial" w:hAnsi="Arial" w:cs="Arial"/>
                            <w:b/>
                            <w:bCs/>
                            <w:color w:val="000000"/>
                            <w:sz w:val="24"/>
                            <w:szCs w:val="24"/>
                          </w:rPr>
                          <w:br/>
                        </w:r>
                        <w:r>
                          <w:rPr>
                            <w:rFonts w:ascii="Arial" w:hAnsi="Arial" w:cs="Arial"/>
                            <w:color w:val="000000"/>
                            <w:sz w:val="24"/>
                            <w:szCs w:val="24"/>
                          </w:rPr>
                          <w:t xml:space="preserve">Today’s guidance is focused on case and contact management, and consideration for </w:t>
                        </w:r>
                        <w:proofErr w:type="gramStart"/>
                        <w:r>
                          <w:rPr>
                            <w:rFonts w:ascii="Arial" w:hAnsi="Arial" w:cs="Arial"/>
                            <w:color w:val="000000"/>
                            <w:sz w:val="24"/>
                            <w:szCs w:val="24"/>
                          </w:rPr>
                          <w:t>child care</w:t>
                        </w:r>
                        <w:proofErr w:type="gramEnd"/>
                        <w:r>
                          <w:rPr>
                            <w:rFonts w:ascii="Arial" w:hAnsi="Arial" w:cs="Arial"/>
                            <w:color w:val="000000"/>
                            <w:sz w:val="24"/>
                            <w:szCs w:val="24"/>
                          </w:rPr>
                          <w:t xml:space="preserve"> facility closure or classes/groups within the facility.</w:t>
                        </w:r>
                      </w:p>
                      <w:p w:rsidR="00EF19BD" w:rsidRDefault="00EF19BD">
                        <w:r>
                          <w:rPr>
                            <w:rStyle w:val="Emphasis"/>
                            <w:rFonts w:ascii="Arial" w:hAnsi="Arial" w:cs="Arial"/>
                            <w:b/>
                            <w:bCs/>
                            <w:color w:val="000000"/>
                            <w:sz w:val="24"/>
                            <w:szCs w:val="24"/>
                          </w:rPr>
                          <w:t>Identifying COVID-19 Cases</w:t>
                        </w:r>
                      </w:p>
                      <w:p w:rsidR="00EF19BD" w:rsidRDefault="00EF19BD">
                        <w:pPr>
                          <w:numPr>
                            <w:ilvl w:val="0"/>
                            <w:numId w:val="5"/>
                          </w:numPr>
                          <w:spacing w:before="100" w:beforeAutospacing="1" w:after="100" w:afterAutospacing="1"/>
                          <w:rPr>
                            <w:rFonts w:eastAsia="Times New Roman"/>
                          </w:rPr>
                        </w:pPr>
                        <w:r>
                          <w:rPr>
                            <w:rFonts w:ascii="Arial" w:eastAsia="Times New Roman" w:hAnsi="Arial" w:cs="Arial"/>
                            <w:color w:val="000000"/>
                            <w:sz w:val="24"/>
                            <w:szCs w:val="24"/>
                          </w:rPr>
                          <w:t xml:space="preserve">Exclude children, parents, </w:t>
                        </w:r>
                        <w:proofErr w:type="gramStart"/>
                        <w:r>
                          <w:rPr>
                            <w:rFonts w:ascii="Arial" w:eastAsia="Times New Roman" w:hAnsi="Arial" w:cs="Arial"/>
                            <w:color w:val="000000"/>
                            <w:sz w:val="24"/>
                            <w:szCs w:val="24"/>
                          </w:rPr>
                          <w:t>providers</w:t>
                        </w:r>
                        <w:proofErr w:type="gramEnd"/>
                        <w:r>
                          <w:rPr>
                            <w:rFonts w:ascii="Arial" w:eastAsia="Times New Roman" w:hAnsi="Arial" w:cs="Arial"/>
                            <w:color w:val="000000"/>
                            <w:sz w:val="24"/>
                            <w:szCs w:val="24"/>
                          </w:rPr>
                          <w:t xml:space="preserve"> and other staff with COVID-19 symptoms from the facility.</w:t>
                        </w:r>
                        <w:r>
                          <w:rPr>
                            <w:rFonts w:eastAsia="Times New Roman"/>
                          </w:rPr>
                          <w:t xml:space="preserve"> </w:t>
                        </w:r>
                      </w:p>
                      <w:p w:rsidR="00EF19BD" w:rsidRDefault="00EF19BD">
                        <w:pPr>
                          <w:numPr>
                            <w:ilvl w:val="0"/>
                            <w:numId w:val="5"/>
                          </w:numPr>
                          <w:spacing w:before="100" w:beforeAutospacing="1" w:after="100" w:afterAutospacing="1"/>
                          <w:rPr>
                            <w:rFonts w:eastAsia="Times New Roman"/>
                          </w:rPr>
                        </w:pPr>
                        <w:r>
                          <w:rPr>
                            <w:rFonts w:ascii="Arial" w:eastAsia="Times New Roman" w:hAnsi="Arial" w:cs="Arial"/>
                            <w:color w:val="000000"/>
                            <w:sz w:val="24"/>
                            <w:szCs w:val="24"/>
                          </w:rPr>
                          <w:t>Children who develop COVID-19 symptoms on site should be immediately removed from the cohort and placed in an isolated area.</w:t>
                        </w:r>
                        <w:r>
                          <w:rPr>
                            <w:rFonts w:eastAsia="Times New Roman"/>
                          </w:rPr>
                          <w:t xml:space="preserve"> </w:t>
                        </w:r>
                      </w:p>
                      <w:p w:rsidR="00EF19BD" w:rsidRDefault="00EF19BD">
                        <w:pPr>
                          <w:numPr>
                            <w:ilvl w:val="0"/>
                            <w:numId w:val="5"/>
                          </w:numPr>
                          <w:spacing w:before="100" w:beforeAutospacing="1" w:after="100" w:afterAutospacing="1"/>
                          <w:rPr>
                            <w:rFonts w:eastAsia="Times New Roman"/>
                          </w:rPr>
                        </w:pPr>
                        <w:r>
                          <w:rPr>
                            <w:rFonts w:ascii="Arial" w:eastAsia="Times New Roman" w:hAnsi="Arial" w:cs="Arial"/>
                            <w:color w:val="000000"/>
                            <w:sz w:val="24"/>
                            <w:szCs w:val="24"/>
                          </w:rPr>
                          <w:t xml:space="preserve">Providers and staff who develop COVID-19 symptoms should immediately leave the </w:t>
                        </w:r>
                        <w:proofErr w:type="gramStart"/>
                        <w:r>
                          <w:rPr>
                            <w:rFonts w:ascii="Arial" w:eastAsia="Times New Roman" w:hAnsi="Arial" w:cs="Arial"/>
                            <w:color w:val="000000"/>
                            <w:sz w:val="24"/>
                            <w:szCs w:val="24"/>
                          </w:rPr>
                          <w:t>child care</w:t>
                        </w:r>
                        <w:proofErr w:type="gramEnd"/>
                        <w:r>
                          <w:rPr>
                            <w:rFonts w:ascii="Arial" w:eastAsia="Times New Roman" w:hAnsi="Arial" w:cs="Arial"/>
                            <w:color w:val="000000"/>
                            <w:sz w:val="24"/>
                            <w:szCs w:val="24"/>
                          </w:rPr>
                          <w:t xml:space="preserve"> facility.</w:t>
                        </w:r>
                        <w:r>
                          <w:rPr>
                            <w:rFonts w:eastAsia="Times New Roman"/>
                          </w:rPr>
                          <w:t xml:space="preserve"> </w:t>
                        </w:r>
                      </w:p>
                      <w:p w:rsidR="00EF19BD" w:rsidRDefault="00EF19BD">
                        <w:pPr>
                          <w:numPr>
                            <w:ilvl w:val="0"/>
                            <w:numId w:val="5"/>
                          </w:numPr>
                          <w:spacing w:before="100" w:beforeAutospacing="1" w:after="100" w:afterAutospacing="1"/>
                          <w:rPr>
                            <w:rFonts w:eastAsia="Times New Roman"/>
                          </w:rPr>
                        </w:pPr>
                        <w:r>
                          <w:rPr>
                            <w:rFonts w:ascii="Arial" w:eastAsia="Times New Roman" w:hAnsi="Arial" w:cs="Arial"/>
                            <w:color w:val="000000"/>
                            <w:sz w:val="24"/>
                            <w:szCs w:val="24"/>
                          </w:rPr>
                          <w:t>Advise sick staff and children to not return until they have met Centers for Disease Control and Prevention (CDC) criteria to discontinue home isolation, including at least one day without fever, symptoms have improved, and at least 10 days since symptoms first appeared.</w:t>
                        </w:r>
                        <w:r>
                          <w:rPr>
                            <w:rFonts w:eastAsia="Times New Roman"/>
                          </w:rPr>
                          <w:t xml:space="preserve"> </w:t>
                        </w:r>
                      </w:p>
                      <w:p w:rsidR="00EF19BD" w:rsidRDefault="00EF19BD">
                        <w:r>
                          <w:rPr>
                            <w:rStyle w:val="Emphasis"/>
                            <w:rFonts w:ascii="Arial" w:hAnsi="Arial" w:cs="Arial"/>
                            <w:b/>
                            <w:bCs/>
                            <w:color w:val="000000"/>
                            <w:sz w:val="24"/>
                            <w:szCs w:val="24"/>
                          </w:rPr>
                          <w:lastRenderedPageBreak/>
                          <w:t>Identified COVID-19 Case &amp; Exposure</w:t>
                        </w:r>
                      </w:p>
                      <w:p w:rsidR="00EF19BD" w:rsidRDefault="00EF19BD">
                        <w:pPr>
                          <w:numPr>
                            <w:ilvl w:val="0"/>
                            <w:numId w:val="6"/>
                          </w:numPr>
                          <w:spacing w:before="100" w:beforeAutospacing="1" w:after="100" w:afterAutospacing="1"/>
                          <w:rPr>
                            <w:rFonts w:eastAsia="Times New Roman"/>
                          </w:rPr>
                        </w:pPr>
                        <w:r>
                          <w:rPr>
                            <w:rFonts w:ascii="Arial" w:eastAsia="Times New Roman" w:hAnsi="Arial" w:cs="Arial"/>
                            <w:color w:val="000000"/>
                            <w:sz w:val="24"/>
                            <w:szCs w:val="24"/>
                          </w:rPr>
                          <w:t>Decisions on public health actions beyond exclusion of an ill person from the facility should be made on a case by case basis with guidance from the local health department.</w:t>
                        </w:r>
                        <w:r>
                          <w:rPr>
                            <w:rFonts w:eastAsia="Times New Roman"/>
                          </w:rPr>
                          <w:t xml:space="preserve"> </w:t>
                        </w:r>
                      </w:p>
                      <w:p w:rsidR="00EF19BD" w:rsidRDefault="00EF19BD">
                        <w:pPr>
                          <w:numPr>
                            <w:ilvl w:val="0"/>
                            <w:numId w:val="6"/>
                          </w:numPr>
                          <w:spacing w:before="100" w:beforeAutospacing="1" w:after="100" w:afterAutospacing="1"/>
                          <w:rPr>
                            <w:rFonts w:eastAsia="Times New Roman"/>
                          </w:rPr>
                        </w:pPr>
                        <w:r>
                          <w:rPr>
                            <w:rFonts w:ascii="Arial" w:eastAsia="Times New Roman" w:hAnsi="Arial" w:cs="Arial"/>
                            <w:color w:val="000000"/>
                            <w:sz w:val="24"/>
                            <w:szCs w:val="24"/>
                          </w:rPr>
                          <w:t xml:space="preserve">When a case is reported, all people who were potentially exposed to the case while he/she was infectious should be identified as soon as possible. This may be difficult to determine for </w:t>
                        </w:r>
                        <w:proofErr w:type="gramStart"/>
                        <w:r>
                          <w:rPr>
                            <w:rFonts w:ascii="Arial" w:eastAsia="Times New Roman" w:hAnsi="Arial" w:cs="Arial"/>
                            <w:color w:val="000000"/>
                            <w:sz w:val="24"/>
                            <w:szCs w:val="24"/>
                          </w:rPr>
                          <w:t>child care</w:t>
                        </w:r>
                        <w:proofErr w:type="gramEnd"/>
                        <w:r>
                          <w:rPr>
                            <w:rFonts w:ascii="Arial" w:eastAsia="Times New Roman" w:hAnsi="Arial" w:cs="Arial"/>
                            <w:color w:val="000000"/>
                            <w:sz w:val="24"/>
                            <w:szCs w:val="24"/>
                          </w:rPr>
                          <w:t xml:space="preserve"> facilities, therefore, an entire cohort, classroom, or other group may need to be considered exposure, particularly if they have spent time together indoors.</w:t>
                        </w:r>
                        <w:r>
                          <w:rPr>
                            <w:rFonts w:eastAsia="Times New Roman"/>
                          </w:rPr>
                          <w:t xml:space="preserve"> </w:t>
                        </w:r>
                      </w:p>
                      <w:p w:rsidR="00EF19BD" w:rsidRDefault="00EF19BD">
                        <w:r>
                          <w:rPr>
                            <w:rStyle w:val="Emphasis"/>
                            <w:rFonts w:ascii="Arial" w:hAnsi="Arial" w:cs="Arial"/>
                            <w:b/>
                            <w:bCs/>
                            <w:color w:val="000000"/>
                            <w:sz w:val="24"/>
                            <w:szCs w:val="24"/>
                          </w:rPr>
                          <w:t xml:space="preserve">Testing &amp; Closure of Facilities </w:t>
                        </w:r>
                      </w:p>
                      <w:p w:rsidR="00EF19BD" w:rsidRDefault="00EF19BD">
                        <w:pPr>
                          <w:numPr>
                            <w:ilvl w:val="0"/>
                            <w:numId w:val="7"/>
                          </w:numPr>
                          <w:spacing w:before="100" w:beforeAutospacing="1" w:after="100" w:afterAutospacing="1"/>
                          <w:rPr>
                            <w:rFonts w:eastAsia="Times New Roman"/>
                          </w:rPr>
                        </w:pPr>
                        <w:r>
                          <w:rPr>
                            <w:rFonts w:ascii="Arial" w:eastAsia="Times New Roman" w:hAnsi="Arial" w:cs="Arial"/>
                            <w:color w:val="000000"/>
                            <w:sz w:val="24"/>
                            <w:szCs w:val="24"/>
                          </w:rPr>
                          <w:t>All person with COVID-19 symptoms should be tested, and testing of exposed asymptomatic people can be considered if local lab capacity permits. Negative test results will not shorten the 14-day quarantine period for exposed people.</w:t>
                        </w:r>
                        <w:r>
                          <w:rPr>
                            <w:rFonts w:eastAsia="Times New Roman"/>
                          </w:rPr>
                          <w:t xml:space="preserve"> </w:t>
                        </w:r>
                      </w:p>
                      <w:p w:rsidR="00EF19BD" w:rsidRDefault="00EF19BD">
                        <w:pPr>
                          <w:numPr>
                            <w:ilvl w:val="0"/>
                            <w:numId w:val="7"/>
                          </w:numPr>
                          <w:spacing w:before="100" w:beforeAutospacing="1" w:after="100" w:afterAutospacing="1"/>
                          <w:rPr>
                            <w:rFonts w:eastAsia="Times New Roman"/>
                          </w:rPr>
                        </w:pPr>
                        <w:r>
                          <w:rPr>
                            <w:rFonts w:ascii="Arial" w:eastAsia="Times New Roman" w:hAnsi="Arial" w:cs="Arial"/>
                            <w:color w:val="000000"/>
                            <w:sz w:val="24"/>
                            <w:szCs w:val="24"/>
                          </w:rPr>
                          <w:t xml:space="preserve">Closure of a facility should be considered in consultation with the local health department if cases have been identified in more than one cohort, class, group, or family </w:t>
                        </w:r>
                        <w:proofErr w:type="gramStart"/>
                        <w:r>
                          <w:rPr>
                            <w:rFonts w:ascii="Arial" w:eastAsia="Times New Roman" w:hAnsi="Arial" w:cs="Arial"/>
                            <w:color w:val="000000"/>
                            <w:sz w:val="24"/>
                            <w:szCs w:val="24"/>
                          </w:rPr>
                          <w:t>child care</w:t>
                        </w:r>
                        <w:proofErr w:type="gramEnd"/>
                        <w:r>
                          <w:rPr>
                            <w:rFonts w:ascii="Arial" w:eastAsia="Times New Roman" w:hAnsi="Arial" w:cs="Arial"/>
                            <w:color w:val="000000"/>
                            <w:sz w:val="24"/>
                            <w:szCs w:val="24"/>
                          </w:rPr>
                          <w:t xml:space="preserve"> home, when exclusion of the individual from the home is not possible.</w:t>
                        </w:r>
                        <w:r>
                          <w:rPr>
                            <w:rFonts w:eastAsia="Times New Roman"/>
                          </w:rPr>
                          <w:t xml:space="preserve"> </w:t>
                        </w:r>
                      </w:p>
                      <w:p w:rsidR="00EF19BD" w:rsidRDefault="00EF19BD">
                        <w:pPr>
                          <w:numPr>
                            <w:ilvl w:val="0"/>
                            <w:numId w:val="7"/>
                          </w:numPr>
                          <w:spacing w:before="100" w:beforeAutospacing="1" w:after="100" w:afterAutospacing="1"/>
                          <w:rPr>
                            <w:rFonts w:eastAsia="Times New Roman"/>
                          </w:rPr>
                        </w:pPr>
                        <w:r>
                          <w:rPr>
                            <w:rFonts w:ascii="Arial" w:eastAsia="Times New Roman" w:hAnsi="Arial" w:cs="Arial"/>
                            <w:color w:val="000000"/>
                            <w:sz w:val="24"/>
                            <w:szCs w:val="24"/>
                          </w:rPr>
                          <w:t xml:space="preserve">A </w:t>
                        </w:r>
                        <w:proofErr w:type="gramStart"/>
                        <w:r>
                          <w:rPr>
                            <w:rFonts w:ascii="Arial" w:eastAsia="Times New Roman" w:hAnsi="Arial" w:cs="Arial"/>
                            <w:color w:val="000000"/>
                            <w:sz w:val="24"/>
                            <w:szCs w:val="24"/>
                          </w:rPr>
                          <w:t>child care</w:t>
                        </w:r>
                        <w:proofErr w:type="gramEnd"/>
                        <w:r>
                          <w:rPr>
                            <w:rFonts w:ascii="Arial" w:eastAsia="Times New Roman" w:hAnsi="Arial" w:cs="Arial"/>
                            <w:color w:val="000000"/>
                            <w:sz w:val="24"/>
                            <w:szCs w:val="24"/>
                          </w:rPr>
                          <w:t xml:space="preserve"> facility may reopen after complying with sanitation procedures and in consultation with their local health department.</w:t>
                        </w:r>
                        <w:r>
                          <w:rPr>
                            <w:rFonts w:eastAsia="Times New Roman"/>
                          </w:rPr>
                          <w:t xml:space="preserve"> </w:t>
                        </w:r>
                      </w:p>
                      <w:p w:rsidR="00EF19BD" w:rsidRDefault="00EF19BD">
                        <w:r>
                          <w:rPr>
                            <w:rStyle w:val="Strong"/>
                            <w:rFonts w:ascii="Arial" w:hAnsi="Arial" w:cs="Arial"/>
                            <w:color w:val="000000"/>
                            <w:sz w:val="24"/>
                            <w:szCs w:val="24"/>
                          </w:rPr>
                          <w:t>Additional Materials</w:t>
                        </w:r>
                      </w:p>
                      <w:p w:rsidR="00EF19BD" w:rsidRDefault="00EF19BD">
                        <w:pPr>
                          <w:numPr>
                            <w:ilvl w:val="0"/>
                            <w:numId w:val="8"/>
                          </w:numPr>
                          <w:spacing w:before="100" w:beforeAutospacing="1" w:after="100" w:afterAutospacing="1"/>
                          <w:rPr>
                            <w:rFonts w:eastAsia="Times New Roman"/>
                          </w:rPr>
                        </w:pPr>
                        <w:hyperlink r:id="rId11" w:tgtFrame="_blank" w:history="1">
                          <w:r>
                            <w:rPr>
                              <w:rStyle w:val="Hyperlink"/>
                              <w:rFonts w:ascii="Arial" w:eastAsia="Times New Roman" w:hAnsi="Arial" w:cs="Arial"/>
                              <w:sz w:val="24"/>
                              <w:szCs w:val="24"/>
                            </w:rPr>
                            <w:t>CDPH COVID-19 Update Guidance: Child Care Programs and Providers</w:t>
                          </w:r>
                        </w:hyperlink>
                        <w:r>
                          <w:rPr>
                            <w:rFonts w:ascii="Arial" w:eastAsia="Times New Roman" w:hAnsi="Arial" w:cs="Arial"/>
                            <w:color w:val="000000"/>
                            <w:sz w:val="24"/>
                            <w:szCs w:val="24"/>
                          </w:rPr>
                          <w:t xml:space="preserve"> (July 17, 2020)</w:t>
                        </w:r>
                        <w:r>
                          <w:rPr>
                            <w:rFonts w:eastAsia="Times New Roman"/>
                          </w:rPr>
                          <w:t xml:space="preserve"> </w:t>
                        </w:r>
                      </w:p>
                      <w:p w:rsidR="00EF19BD" w:rsidRDefault="00EF19BD">
                        <w:pPr>
                          <w:numPr>
                            <w:ilvl w:val="0"/>
                            <w:numId w:val="8"/>
                          </w:numPr>
                          <w:spacing w:before="100" w:beforeAutospacing="1" w:after="100" w:afterAutospacing="1"/>
                          <w:rPr>
                            <w:rFonts w:eastAsia="Times New Roman"/>
                          </w:rPr>
                        </w:pPr>
                        <w:hyperlink r:id="rId12" w:tgtFrame="_blank" w:history="1">
                          <w:r>
                            <w:rPr>
                              <w:rStyle w:val="Hyperlink"/>
                              <w:rFonts w:ascii="Arial" w:eastAsia="Times New Roman" w:hAnsi="Arial" w:cs="Arial"/>
                              <w:sz w:val="24"/>
                              <w:szCs w:val="24"/>
                            </w:rPr>
                            <w:t xml:space="preserve">CDPH COVID-19 Industry Guidance: School and School Based Programs </w:t>
                          </w:r>
                        </w:hyperlink>
                        <w:r>
                          <w:rPr>
                            <w:rFonts w:ascii="Arial" w:eastAsia="Times New Roman" w:hAnsi="Arial" w:cs="Arial"/>
                            <w:color w:val="000000"/>
                            <w:sz w:val="24"/>
                            <w:szCs w:val="24"/>
                          </w:rPr>
                          <w:t>(August 3, 2020)</w:t>
                        </w:r>
                        <w:r>
                          <w:rPr>
                            <w:rFonts w:eastAsia="Times New Roman"/>
                          </w:rPr>
                          <w:t xml:space="preserve"> </w:t>
                        </w:r>
                      </w:p>
                      <w:p w:rsidR="00EF19BD" w:rsidRDefault="00EF19BD">
                        <w:pPr>
                          <w:numPr>
                            <w:ilvl w:val="0"/>
                            <w:numId w:val="8"/>
                          </w:numPr>
                          <w:spacing w:before="100" w:beforeAutospacing="1" w:after="100" w:afterAutospacing="1"/>
                          <w:rPr>
                            <w:rFonts w:eastAsia="Times New Roman"/>
                          </w:rPr>
                        </w:pPr>
                        <w:hyperlink r:id="rId13" w:tgtFrame="_blank" w:history="1">
                          <w:r>
                            <w:rPr>
                              <w:rStyle w:val="Hyperlink"/>
                              <w:rFonts w:ascii="Arial" w:eastAsia="Times New Roman" w:hAnsi="Arial" w:cs="Arial"/>
                              <w:sz w:val="24"/>
                              <w:szCs w:val="24"/>
                            </w:rPr>
                            <w:t>CDC: Operating Schools During COVID-19</w:t>
                          </w:r>
                        </w:hyperlink>
                        <w:r>
                          <w:rPr>
                            <w:rFonts w:ascii="Arial" w:eastAsia="Times New Roman" w:hAnsi="Arial" w:cs="Arial"/>
                            <w:color w:val="000000"/>
                            <w:sz w:val="24"/>
                            <w:szCs w:val="24"/>
                          </w:rPr>
                          <w:t xml:space="preserve"> (August 21, 2020)</w:t>
                        </w:r>
                        <w:r>
                          <w:rPr>
                            <w:rFonts w:eastAsia="Times New Roman"/>
                          </w:rPr>
                          <w:t xml:space="preserve"> </w:t>
                        </w:r>
                      </w:p>
                      <w:p w:rsidR="00EF19BD" w:rsidRDefault="00EF19BD">
                        <w:r>
                          <w:rPr>
                            <w:rFonts w:ascii="Arial" w:hAnsi="Arial" w:cs="Arial"/>
                            <w:i/>
                            <w:iCs/>
                            <w:color w:val="000000"/>
                            <w:sz w:val="20"/>
                            <w:szCs w:val="20"/>
                          </w:rPr>
                          <w:t xml:space="preserve">CASBO </w:t>
                        </w:r>
                        <w:proofErr w:type="spellStart"/>
                        <w:r>
                          <w:rPr>
                            <w:rFonts w:ascii="Arial" w:hAnsi="Arial" w:cs="Arial"/>
                            <w:i/>
                            <w:iCs/>
                            <w:color w:val="000000"/>
                            <w:sz w:val="20"/>
                            <w:szCs w:val="20"/>
                          </w:rPr>
                          <w:t>NewsBreaks</w:t>
                        </w:r>
                        <w:proofErr w:type="spellEnd"/>
                        <w:r>
                          <w:rPr>
                            <w:rFonts w:ascii="Arial" w:hAnsi="Arial" w:cs="Arial"/>
                            <w:i/>
                            <w:iCs/>
                            <w:color w:val="000000"/>
                            <w:sz w:val="20"/>
                            <w:szCs w:val="20"/>
                          </w:rPr>
                          <w:t xml:space="preserve"> and Advocacy tools are posted on our </w:t>
                        </w:r>
                        <w:hyperlink r:id="rId14" w:tgtFrame="_blank" w:history="1">
                          <w:r>
                            <w:rPr>
                              <w:rStyle w:val="Hyperlink"/>
                              <w:rFonts w:ascii="Arial" w:hAnsi="Arial" w:cs="Arial"/>
                              <w:i/>
                              <w:iCs/>
                              <w:sz w:val="20"/>
                              <w:szCs w:val="20"/>
                            </w:rPr>
                            <w:t>website</w:t>
                          </w:r>
                        </w:hyperlink>
                        <w:r>
                          <w:rPr>
                            <w:rFonts w:ascii="Arial" w:hAnsi="Arial" w:cs="Arial"/>
                            <w:i/>
                            <w:iCs/>
                            <w:color w:val="000000"/>
                            <w:sz w:val="20"/>
                            <w:szCs w:val="20"/>
                          </w:rPr>
                          <w:t xml:space="preserve">. For more information, contact CASBO’s Governmental Relations staff: </w:t>
                        </w:r>
                        <w:hyperlink r:id="rId15" w:tgtFrame="_blank" w:history="1">
                          <w:r>
                            <w:rPr>
                              <w:rStyle w:val="Hyperlink"/>
                              <w:rFonts w:ascii="Arial" w:hAnsi="Arial" w:cs="Arial"/>
                              <w:i/>
                              <w:iCs/>
                              <w:sz w:val="20"/>
                              <w:szCs w:val="20"/>
                            </w:rPr>
                            <w:t xml:space="preserve">Sara </w:t>
                          </w:r>
                          <w:proofErr w:type="spellStart"/>
                          <w:r>
                            <w:rPr>
                              <w:rStyle w:val="Hyperlink"/>
                              <w:rFonts w:ascii="Arial" w:hAnsi="Arial" w:cs="Arial"/>
                              <w:i/>
                              <w:iCs/>
                              <w:sz w:val="20"/>
                              <w:szCs w:val="20"/>
                            </w:rPr>
                            <w:t>Bachez</w:t>
                          </w:r>
                          <w:proofErr w:type="spellEnd"/>
                        </w:hyperlink>
                        <w:r>
                          <w:rPr>
                            <w:rFonts w:ascii="Arial" w:hAnsi="Arial" w:cs="Arial"/>
                            <w:i/>
                            <w:iCs/>
                            <w:color w:val="000000"/>
                            <w:sz w:val="20"/>
                            <w:szCs w:val="20"/>
                          </w:rPr>
                          <w:t xml:space="preserve">, Chief Governmental Relations Officer; or </w:t>
                        </w:r>
                        <w:hyperlink r:id="rId16" w:tgtFrame="_blank" w:history="1">
                          <w:r>
                            <w:rPr>
                              <w:rStyle w:val="Hyperlink"/>
                              <w:rFonts w:ascii="Arial" w:hAnsi="Arial" w:cs="Arial"/>
                              <w:i/>
                              <w:iCs/>
                              <w:sz w:val="20"/>
                              <w:szCs w:val="20"/>
                            </w:rPr>
                            <w:t>Elizabeth Esquivel</w:t>
                          </w:r>
                        </w:hyperlink>
                        <w:r>
                          <w:rPr>
                            <w:rFonts w:ascii="Arial" w:hAnsi="Arial" w:cs="Arial"/>
                            <w:i/>
                            <w:iCs/>
                            <w:color w:val="000000"/>
                            <w:sz w:val="20"/>
                            <w:szCs w:val="20"/>
                          </w:rPr>
                          <w:t xml:space="preserve">, Senior Director of Policy &amp; Governance. Remember that the most effective and convenient way to become involved is by joining the CASBO </w:t>
                        </w:r>
                        <w:hyperlink r:id="rId17" w:tgtFrame="_blank" w:history="1">
                          <w:r>
                            <w:rPr>
                              <w:rStyle w:val="Hyperlink"/>
                              <w:rFonts w:ascii="Arial" w:hAnsi="Arial" w:cs="Arial"/>
                              <w:i/>
                              <w:iCs/>
                              <w:sz w:val="20"/>
                              <w:szCs w:val="20"/>
                            </w:rPr>
                            <w:t>Advocacy Network.</w:t>
                          </w:r>
                        </w:hyperlink>
                      </w:p>
                      <w:p w:rsidR="00EF19BD" w:rsidRDefault="00EF19BD">
                        <w:r>
                          <w:t> </w:t>
                        </w:r>
                      </w:p>
                      <w:p w:rsidR="00EF19BD" w:rsidRDefault="00EF19BD">
                        <w:pPr>
                          <w:jc w:val="center"/>
                        </w:pPr>
                        <w:r>
                          <w:rPr>
                            <w:rStyle w:val="Strong"/>
                            <w:rFonts w:ascii="Arial" w:hAnsi="Arial" w:cs="Arial"/>
                            <w:sz w:val="20"/>
                            <w:szCs w:val="20"/>
                          </w:rPr>
                          <w:t>California Association of School Business Officials</w:t>
                        </w:r>
                        <w:r>
                          <w:rPr>
                            <w:rFonts w:ascii="Arial" w:hAnsi="Arial" w:cs="Arial"/>
                            <w:sz w:val="20"/>
                            <w:szCs w:val="20"/>
                          </w:rPr>
                          <w:br/>
                          <w:t>1001 K Street, 5th Floor | Sacramento, CA 95814 | Telephone: (916) 447-3783</w:t>
                        </w:r>
                      </w:p>
                      <w:p w:rsidR="00EF19BD" w:rsidRDefault="00EF19BD">
                        <w:pPr>
                          <w:jc w:val="center"/>
                        </w:pPr>
                        <w:r>
                          <w:rPr>
                            <w:noProof/>
                            <w:color w:val="0000FF"/>
                          </w:rPr>
                          <w:drawing>
                            <wp:inline distT="0" distB="0" distL="0" distR="0">
                              <wp:extent cx="3048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extent cx="3048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extent cx="3048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F19BD" w:rsidRDefault="00EF19BD">
                        <w:pPr>
                          <w:jc w:val="center"/>
                        </w:pPr>
                        <w:r>
                          <w:rPr>
                            <w:noProof/>
                            <w:color w:val="0000FF"/>
                          </w:rPr>
                          <w:drawing>
                            <wp:inline distT="0" distB="0" distL="0" distR="0">
                              <wp:extent cx="1428750" cy="333375"/>
                              <wp:effectExtent l="0" t="0" r="0" b="9525"/>
                              <wp:docPr id="1" name="Picture 1">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p>
                      <w:p w:rsidR="00EF19BD" w:rsidRDefault="00EF19BD">
                        <w:pPr>
                          <w:jc w:val="center"/>
                        </w:pPr>
                        <w:r>
                          <w:rPr>
                            <w:rFonts w:ascii="Arial" w:hAnsi="Arial" w:cs="Arial"/>
                            <w:sz w:val="15"/>
                            <w:szCs w:val="15"/>
                          </w:rPr>
                          <w:t>This email was sent to </w:t>
                        </w:r>
                        <w:hyperlink r:id="rId26" w:history="1">
                          <w:r>
                            <w:rPr>
                              <w:rStyle w:val="Hyperlink"/>
                              <w:rFonts w:ascii="Arial" w:hAnsi="Arial" w:cs="Arial"/>
                              <w:sz w:val="15"/>
                              <w:szCs w:val="15"/>
                            </w:rPr>
                            <w:t>dkopperud@cde.ca.gov</w:t>
                          </w:r>
                        </w:hyperlink>
                        <w:r>
                          <w:rPr>
                            <w:rFonts w:ascii="Arial" w:hAnsi="Arial" w:cs="Arial"/>
                            <w:sz w:val="15"/>
                            <w:szCs w:val="15"/>
                          </w:rPr>
                          <w:t xml:space="preserve">. If you wish, you may </w:t>
                        </w:r>
                        <w:hyperlink r:id="rId27" w:tgtFrame="_blank" w:history="1">
                          <w:r>
                            <w:rPr>
                              <w:rStyle w:val="Hyperlink"/>
                              <w:rFonts w:ascii="Arial" w:hAnsi="Arial" w:cs="Arial"/>
                              <w:sz w:val="15"/>
                              <w:szCs w:val="15"/>
                            </w:rPr>
                            <w:t>Unsubscribe Here</w:t>
                          </w:r>
                        </w:hyperlink>
                        <w:r>
                          <w:rPr>
                            <w:rFonts w:ascii="Arial" w:hAnsi="Arial" w:cs="Arial"/>
                            <w:sz w:val="15"/>
                            <w:szCs w:val="15"/>
                          </w:rPr>
                          <w:t>.</w:t>
                        </w:r>
                        <w:r>
                          <w:rPr>
                            <w:rFonts w:ascii="Arial" w:hAnsi="Arial" w:cs="Arial"/>
                            <w:sz w:val="15"/>
                            <w:szCs w:val="15"/>
                          </w:rPr>
                          <w:br/>
                          <w:t>©2020 CASBO. All rights reserved.</w:t>
                        </w:r>
                      </w:p>
                    </w:tc>
                  </w:tr>
                </w:tbl>
                <w:p w:rsidR="00EF19BD" w:rsidRDefault="00EF19BD">
                  <w:pPr>
                    <w:jc w:val="center"/>
                    <w:rPr>
                      <w:rFonts w:ascii="Times New Roman" w:eastAsia="Times New Roman" w:hAnsi="Times New Roman" w:cs="Times New Roman"/>
                      <w:sz w:val="20"/>
                      <w:szCs w:val="20"/>
                    </w:rPr>
                  </w:pPr>
                </w:p>
              </w:tc>
            </w:tr>
          </w:tbl>
          <w:p w:rsidR="00EF19BD" w:rsidRDefault="00EF19BD">
            <w:pPr>
              <w:jc w:val="center"/>
              <w:rPr>
                <w:rFonts w:ascii="Times New Roman" w:eastAsia="Times New Roman" w:hAnsi="Times New Roman" w:cs="Times New Roman"/>
                <w:sz w:val="20"/>
                <w:szCs w:val="20"/>
              </w:rPr>
            </w:pPr>
          </w:p>
        </w:tc>
      </w:tr>
    </w:tbl>
    <w:p w:rsidR="00EF19BD" w:rsidRDefault="00EF19BD"/>
    <w:sectPr w:rsidR="00EF19BD" w:rsidSect="00EF19BD">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F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65A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05B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00D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832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C77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606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854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BD"/>
    <w:rsid w:val="00E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FE5C2-299F-4F10-9D6A-34557D3E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9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9BD"/>
    <w:rPr>
      <w:color w:val="0000FF"/>
      <w:u w:val="single"/>
    </w:rPr>
  </w:style>
  <w:style w:type="character" w:styleId="Strong">
    <w:name w:val="Strong"/>
    <w:basedOn w:val="DefaultParagraphFont"/>
    <w:uiPriority w:val="22"/>
    <w:qFormat/>
    <w:rsid w:val="00EF19BD"/>
    <w:rPr>
      <w:b/>
      <w:bCs/>
    </w:rPr>
  </w:style>
  <w:style w:type="character" w:styleId="Emphasis">
    <w:name w:val="Emphasis"/>
    <w:basedOn w:val="DefaultParagraphFont"/>
    <w:uiPriority w:val="20"/>
    <w:qFormat/>
    <w:rsid w:val="00EF1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3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online.casbo.org_casbossa_ecmssamsganalytics.click-5Fthrough-3Fp-5Fmail-5Fid-3DE126991A12003002B1C691674&amp;d=DwMGaQ&amp;c=SIStQSL0VMIUJoLS-Q8giiFlA-AKdP7tpJHyQh8DeXk&amp;r=9rmZudjBgShtiXGX95_A-ufjr84LUqcU2iI16NRvITI&amp;m=zo2AZa2uVz5D6uSGIHhs2gCMZgwhWMXNP7kbMc6PsIs&amp;s=2QK9_zOhGdPsWH6_MtydhogxDZtj3RVzz7rU6HET6fg&amp;e=" TargetMode="External"/><Relationship Id="rId13" Type="http://schemas.openxmlformats.org/officeDocument/2006/relationships/hyperlink" Target="https://urldefense.proofpoint.com/v2/url?u=https-3A__online.casbo.org_casbossa_ecmssamsganalytics.click-5Fthrough-3Fp-5Fmail-5Fid-3DE126991A12003002B1C691679&amp;d=DwMGaQ&amp;c=SIStQSL0VMIUJoLS-Q8giiFlA-AKdP7tpJHyQh8DeXk&amp;r=9rmZudjBgShtiXGX95_A-ufjr84LUqcU2iI16NRvITI&amp;m=zo2AZa2uVz5D6uSGIHhs2gCMZgwhWMXNP7kbMc6PsIs&amp;s=IjzAKtomTkoAl91wMmSvTskbPH7dptR_JnUiyWItvdk&amp;e=" TargetMode="External"/><Relationship Id="rId18" Type="http://schemas.openxmlformats.org/officeDocument/2006/relationships/hyperlink" Target="https://urldefense.proofpoint.com/v2/url?u=https-3A__online.casbo.org_casbossa_ecmssamsganalytics.click-5Fthrough-3Fp-5Fmail-5Fid-3DE126991A12003002B1C691684&amp;d=DwMGaQ&amp;c=SIStQSL0VMIUJoLS-Q8giiFlA-AKdP7tpJHyQh8DeXk&amp;r=9rmZudjBgShtiXGX95_A-ufjr84LUqcU2iI16NRvITI&amp;m=zo2AZa2uVz5D6uSGIHhs2gCMZgwhWMXNP7kbMc6PsIs&amp;s=dcPznFeDi6tJ-H4v4T-2ZhI6yfetgB7HN3c6euTsDRk&amp;e=" TargetMode="External"/><Relationship Id="rId26" Type="http://schemas.openxmlformats.org/officeDocument/2006/relationships/hyperlink" Target="mailto:dkopperud@cde.ca.gov"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urldefense.proofpoint.com/v2/url?u=https-3A__online.casbo.org_casbossa_ecmssamsganalytics.click-5Fthrough-3Fp-5Fmail-5Fid-3DE126991A12003002B1C691673&amp;d=DwMGaQ&amp;c=SIStQSL0VMIUJoLS-Q8giiFlA-AKdP7tpJHyQh8DeXk&amp;r=9rmZudjBgShtiXGX95_A-ufjr84LUqcU2iI16NRvITI&amp;m=zo2AZa2uVz5D6uSGIHhs2gCMZgwhWMXNP7kbMc6PsIs&amp;s=xx-lIhXTYpNqSepNBrP0512pdu_LWbVPlbhB04-nPwU&amp;e=" TargetMode="External"/><Relationship Id="rId12" Type="http://schemas.openxmlformats.org/officeDocument/2006/relationships/hyperlink" Target="https://urldefense.proofpoint.com/v2/url?u=https-3A__online.casbo.org_casbossa_ecmssamsganalytics.click-5Fthrough-3Fp-5Fmail-5Fid-3DE126991A12003002B1C691678&amp;d=DwMGaQ&amp;c=SIStQSL0VMIUJoLS-Q8giiFlA-AKdP7tpJHyQh8DeXk&amp;r=9rmZudjBgShtiXGX95_A-ufjr84LUqcU2iI16NRvITI&amp;m=zo2AZa2uVz5D6uSGIHhs2gCMZgwhWMXNP7kbMc6PsIs&amp;s=QJaApSYFVYthZp-l21_OqUK9wWfS9kbFeQu5L9FgWcE&amp;e=" TargetMode="External"/><Relationship Id="rId17" Type="http://schemas.openxmlformats.org/officeDocument/2006/relationships/hyperlink" Target="https://urldefense.proofpoint.com/v2/url?u=https-3A__online.casbo.org_casbossa_ecmssamsganalytics.click-5Fthrough-3Fp-5Fmail-5Fid-3DE126991A12003002B1C691683&amp;d=DwMGaQ&amp;c=SIStQSL0VMIUJoLS-Q8giiFlA-AKdP7tpJHyQh8DeXk&amp;r=9rmZudjBgShtiXGX95_A-ufjr84LUqcU2iI16NRvITI&amp;m=zo2AZa2uVz5D6uSGIHhs2gCMZgwhWMXNP7kbMc6PsIs&amp;s=k7XR4EQAD3igTRM_4WEV0mF9sLHvziOdX38SgwrwRfw&amp;e="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urldefense.proofpoint.com/v2/url?u=https-3A__online.casbo.org_casbossa_ecmssamsganalytics.click-5Fthrough-3Fp-5Fmail-5Fid-3DE126991A12003002B1C691682&amp;d=DwMGaQ&amp;c=SIStQSL0VMIUJoLS-Q8giiFlA-AKdP7tpJHyQh8DeXk&amp;r=9rmZudjBgShtiXGX95_A-ufjr84LUqcU2iI16NRvITI&amp;m=zo2AZa2uVz5D6uSGIHhs2gCMZgwhWMXNP7kbMc6PsIs&amp;s=0QrC1MY1pSD2bwil88dJUe4NM7jbWLPUT_CUW_mrCac&amp;e=" TargetMode="External"/><Relationship Id="rId20" Type="http://schemas.openxmlformats.org/officeDocument/2006/relationships/hyperlink" Target="https://urldefense.proofpoint.com/v2/url?u=https-3A__online.casbo.org_casbossa_ecmssamsganalytics.click-5Fthrough-3Fp-5Fmail-5Fid-3DE126991A12003002B1C691685&amp;d=DwMGaQ&amp;c=SIStQSL0VMIUJoLS-Q8giiFlA-AKdP7tpJHyQh8DeXk&amp;r=9rmZudjBgShtiXGX95_A-ufjr84LUqcU2iI16NRvITI&amp;m=zo2AZa2uVz5D6uSGIHhs2gCMZgwhWMXNP7kbMc6PsIs&amp;s=OiSjdp511-SVQJD65gJyJtWR9IVlH3H9qn_adiQZ3Pk&amp;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proofpoint.com/v2/url?u=https-3A__online.casbo.org_casbossa_ecmssamsganalytics.click-5Fthrough-3Fp-5Fmail-5Fid-3DE126991A12003002B1C691672&amp;d=DwMGaQ&amp;c=SIStQSL0VMIUJoLS-Q8giiFlA-AKdP7tpJHyQh8DeXk&amp;r=9rmZudjBgShtiXGX95_A-ufjr84LUqcU2iI16NRvITI&amp;m=zo2AZa2uVz5D6uSGIHhs2gCMZgwhWMXNP7kbMc6PsIs&amp;s=XA9VYA4HbRv-GT8rrRQ1L1NQJH2MM0iM5eW0mhccdrI&amp;e=" TargetMode="External"/><Relationship Id="rId11" Type="http://schemas.openxmlformats.org/officeDocument/2006/relationships/hyperlink" Target="https://urldefense.proofpoint.com/v2/url?u=https-3A__online.casbo.org_casbossa_ecmssamsganalytics.click-5Fthrough-3Fp-5Fmail-5Fid-3DE126991A12003002B1C691677&amp;d=DwMGaQ&amp;c=SIStQSL0VMIUJoLS-Q8giiFlA-AKdP7tpJHyQh8DeXk&amp;r=9rmZudjBgShtiXGX95_A-ufjr84LUqcU2iI16NRvITI&amp;m=zo2AZa2uVz5D6uSGIHhs2gCMZgwhWMXNP7kbMc6PsIs&amp;s=EdIKl69nk-fEtY4ehGEUE0w2N8nCIXkiPDFHnzXsPWI&amp;e=" TargetMode="External"/><Relationship Id="rId24" Type="http://schemas.openxmlformats.org/officeDocument/2006/relationships/hyperlink" Target="https://urldefense.proofpoint.com/v2/url?u=https-3A__online.casbo.org_casbossa_ecmssamsganalytics.click-5Fthrough-3Fp-5Fmail-5Fid-3DE126991A12003002B1C691687&amp;d=DwMGaQ&amp;c=SIStQSL0VMIUJoLS-Q8giiFlA-AKdP7tpJHyQh8DeXk&amp;r=9rmZudjBgShtiXGX95_A-ufjr84LUqcU2iI16NRvITI&amp;m=zo2AZa2uVz5D6uSGIHhs2gCMZgwhWMXNP7kbMc6PsIs&amp;s=3DvFcQICwvtYFhzM9U-BtseVc16_NiX40ujhFBwVHJc&amp;e=" TargetMode="External"/><Relationship Id="rId5" Type="http://schemas.openxmlformats.org/officeDocument/2006/relationships/image" Target="media/image1.png"/><Relationship Id="rId15" Type="http://schemas.openxmlformats.org/officeDocument/2006/relationships/hyperlink" Target="https://urldefense.proofpoint.com/v2/url?u=https-3A__online.casbo.org_casbossa_ecmssamsganalytics.click-5Fthrough-3Fp-5Fmail-5Fid-3DE126991A12003002B1C691681&amp;d=DwMGaQ&amp;c=SIStQSL0VMIUJoLS-Q8giiFlA-AKdP7tpJHyQh8DeXk&amp;r=9rmZudjBgShtiXGX95_A-ufjr84LUqcU2iI16NRvITI&amp;m=zo2AZa2uVz5D6uSGIHhs2gCMZgwhWMXNP7kbMc6PsIs&amp;s=2thszJoHcQ3Z6C4Si2rXSFWr00AKUKC-SlnKp0DVrEU&amp;e="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urldefense.proofpoint.com/v2/url?u=https-3A__online.casbo.org_casbossa_ecmssamsganalytics.click-5Fthrough-3Fp-5Fmail-5Fid-3DE126991A12003002B1C691676&amp;d=DwMGaQ&amp;c=SIStQSL0VMIUJoLS-Q8giiFlA-AKdP7tpJHyQh8DeXk&amp;r=9rmZudjBgShtiXGX95_A-ufjr84LUqcU2iI16NRvITI&amp;m=zo2AZa2uVz5D6uSGIHhs2gCMZgwhWMXNP7kbMc6PsIs&amp;s=nsYbafmb4qsmInvfzuMVWskCpETwk-qd1MV0XBS7lko&amp;e="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rldefense.proofpoint.com/v2/url?u=https-3A__online.casbo.org_casbossa_ecmssamsganalytics.click-5Fthrough-3Fp-5Fmail-5Fid-3DE126991A12003002B1C691675&amp;d=DwMGaQ&amp;c=SIStQSL0VMIUJoLS-Q8giiFlA-AKdP7tpJHyQh8DeXk&amp;r=9rmZudjBgShtiXGX95_A-ufjr84LUqcU2iI16NRvITI&amp;m=zo2AZa2uVz5D6uSGIHhs2gCMZgwhWMXNP7kbMc6PsIs&amp;s=MpzAdvfx0tMY4suHXD-JL0aq4jc5Ft4VSrNxX8toIuA&amp;e=" TargetMode="External"/><Relationship Id="rId14" Type="http://schemas.openxmlformats.org/officeDocument/2006/relationships/hyperlink" Target="https://urldefense.proofpoint.com/v2/url?u=https-3A__online.casbo.org_casbossa_ecmssamsganalytics.click-5Fthrough-3Fp-5Fmail-5Fid-3DE126991A12003002B1C691680&amp;d=DwMGaQ&amp;c=SIStQSL0VMIUJoLS-Q8giiFlA-AKdP7tpJHyQh8DeXk&amp;r=9rmZudjBgShtiXGX95_A-ufjr84LUqcU2iI16NRvITI&amp;m=zo2AZa2uVz5D6uSGIHhs2gCMZgwhWMXNP7kbMc6PsIs&amp;s=FYZ_9n2OF4stfwkWBklnHHvA3O1-OfD3W1gW3yDXuLA&amp;e=" TargetMode="External"/><Relationship Id="rId22" Type="http://schemas.openxmlformats.org/officeDocument/2006/relationships/hyperlink" Target="https://urldefense.proofpoint.com/v2/url?u=https-3A__online.casbo.org_casbossa_ecmssamsganalytics.click-5Fthrough-3Fp-5Fmail-5Fid-3DE126991A12003002B1C691686&amp;d=DwMGaQ&amp;c=SIStQSL0VMIUJoLS-Q8giiFlA-AKdP7tpJHyQh8DeXk&amp;r=9rmZudjBgShtiXGX95_A-ufjr84LUqcU2iI16NRvITI&amp;m=zo2AZa2uVz5D6uSGIHhs2gCMZgwhWMXNP7kbMc6PsIs&amp;s=miZElTcctknXkGOIM1aLMgWshY7h8kPepuSUVvF0llI&amp;e=" TargetMode="External"/><Relationship Id="rId27" Type="http://schemas.openxmlformats.org/officeDocument/2006/relationships/hyperlink" Target="https://urldefense.proofpoint.com/v2/url?u=https-3A__online.casbo.org_casbossa_ecmunsubscribe.login-3Fp-5Fkey-3D0B9869D9A1D405076B01C659C70205350D160A7108C576C4&amp;d=DwMGaQ&amp;c=SIStQSL0VMIUJoLS-Q8giiFlA-AKdP7tpJHyQh8DeXk&amp;r=9rmZudjBgShtiXGX95_A-ufjr84LUqcU2iI16NRvITI&amp;m=zo2AZa2uVz5D6uSGIHhs2gCMZgwhWMXNP7kbMc6PsIs&amp;s=rHGsomvVBMPbaAQiSJM87ubety1WdSfGf4GXYEHYcy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2020-08-26T15:27:00Z</dcterms:created>
  <dcterms:modified xsi:type="dcterms:W3CDTF">2020-08-26T15:29:00Z</dcterms:modified>
</cp:coreProperties>
</file>