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87E83" w14:textId="59F480DE" w:rsidR="00E96719" w:rsidRPr="00E96719" w:rsidRDefault="00E96719" w:rsidP="00E96719">
      <w:pPr>
        <w:shd w:val="clear" w:color="auto" w:fill="FFFFFF"/>
        <w:spacing w:after="240" w:line="240" w:lineRule="auto"/>
        <w:ind w:hanging="450"/>
        <w:rPr>
          <w:rFonts w:ascii="Helvetica" w:eastAsia="Times New Roman" w:hAnsi="Helvetica" w:cs="Helvetica"/>
          <w:color w:val="000000"/>
          <w:sz w:val="24"/>
          <w:szCs w:val="24"/>
        </w:rPr>
      </w:pPr>
      <w:r>
        <w:rPr>
          <w:noProof/>
        </w:rPr>
        <w:drawing>
          <wp:inline distT="0" distB="0" distL="0" distR="0" wp14:anchorId="1400B9D7" wp14:editId="3A6404D9">
            <wp:extent cx="6172200" cy="588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2200" cy="5886450"/>
                    </a:xfrm>
                    <a:prstGeom prst="rect">
                      <a:avLst/>
                    </a:prstGeom>
                  </pic:spPr>
                </pic:pic>
              </a:graphicData>
            </a:graphic>
          </wp:inline>
        </w:drawing>
      </w:r>
      <w:r w:rsidRPr="00E96719">
        <w:rPr>
          <w:rFonts w:ascii="Helvetica" w:eastAsia="Times New Roman" w:hAnsi="Helvetica" w:cs="Helvetica"/>
          <w:color w:val="000000"/>
          <w:sz w:val="24"/>
          <w:szCs w:val="24"/>
        </w:rPr>
        <w:t>On November 16, 2020, the California Department of Public Health released updated </w:t>
      </w:r>
      <w:r w:rsidRPr="00E96719">
        <w:rPr>
          <w:rFonts w:ascii="Helvetica" w:eastAsia="Times New Roman" w:hAnsi="Helvetica" w:cs="Helvetica"/>
          <w:i/>
          <w:iCs/>
          <w:color w:val="000000"/>
          <w:sz w:val="24"/>
          <w:szCs w:val="24"/>
        </w:rPr>
        <w:t>Guidance for the Use of Face Coverings</w:t>
      </w:r>
      <w:r w:rsidRPr="00E96719">
        <w:rPr>
          <w:rFonts w:ascii="Helvetica" w:eastAsia="Times New Roman" w:hAnsi="Helvetica" w:cs="Helvetica"/>
          <w:color w:val="000000"/>
          <w:sz w:val="24"/>
          <w:szCs w:val="24"/>
        </w:rPr>
        <w:t> (CDPH Face Coverings guidance), which can be reviewed on the CDPH website at </w:t>
      </w:r>
      <w:hyperlink r:id="rId6" w:tgtFrame="_blank" w:history="1">
        <w:r w:rsidRPr="00E96719">
          <w:rPr>
            <w:rFonts w:ascii="Helvetica" w:eastAsia="Times New Roman" w:hAnsi="Helvetica" w:cs="Helvetica"/>
            <w:color w:val="0000FF"/>
            <w:sz w:val="24"/>
            <w:szCs w:val="24"/>
            <w:u w:val="single"/>
          </w:rPr>
          <w:t>https://www.cdph.ca.gov/Programs/CID/DCDC/Pages/COVID-19/guidance-for-face-coverings.aspx</w:t>
        </w:r>
        <w:r w:rsidRPr="00E96719">
          <w:rPr>
            <w:rFonts w:ascii="Helvetica" w:eastAsia="Times New Roman" w:hAnsi="Helvetica" w:cs="Helvetica"/>
            <w:noProof/>
            <w:color w:val="000000"/>
            <w:sz w:val="24"/>
            <w:szCs w:val="24"/>
          </w:rPr>
          <w:drawing>
            <wp:inline distT="0" distB="0" distL="0" distR="0" wp14:anchorId="5209AE67" wp14:editId="58747E5B">
              <wp:extent cx="114300" cy="104775"/>
              <wp:effectExtent l="0" t="0" r="0" b="9525"/>
              <wp:docPr id="3"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hyperlink>
      <w:r w:rsidRPr="00E96719">
        <w:rPr>
          <w:rFonts w:ascii="Helvetica" w:eastAsia="Times New Roman" w:hAnsi="Helvetica" w:cs="Helvetica"/>
          <w:color w:val="000000"/>
          <w:sz w:val="24"/>
          <w:szCs w:val="24"/>
        </w:rPr>
        <w:t xml:space="preserve">. The CDPH guidance clearly outlines individuals exempt from </w:t>
      </w:r>
      <w:proofErr w:type="gramStart"/>
      <w:r w:rsidRPr="00E96719">
        <w:rPr>
          <w:rFonts w:ascii="Helvetica" w:eastAsia="Times New Roman" w:hAnsi="Helvetica" w:cs="Helvetica"/>
          <w:color w:val="000000"/>
          <w:sz w:val="24"/>
          <w:szCs w:val="24"/>
        </w:rPr>
        <w:t>wearing face coverings at all times</w:t>
      </w:r>
      <w:proofErr w:type="gramEnd"/>
      <w:r w:rsidRPr="00E96719">
        <w:rPr>
          <w:rFonts w:ascii="Helvetica" w:eastAsia="Times New Roman" w:hAnsi="Helvetica" w:cs="Helvetica"/>
          <w:color w:val="000000"/>
          <w:sz w:val="24"/>
          <w:szCs w:val="24"/>
        </w:rPr>
        <w:t>, regardless of setting. Those exempt individuals include:</w:t>
      </w:r>
    </w:p>
    <w:p w14:paraId="4F7A32AB" w14:textId="77777777" w:rsidR="00E96719" w:rsidRPr="00E96719" w:rsidRDefault="00E96719" w:rsidP="00E96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Persons younger than two years old. These very young children must not wear a face covering because of the risk of suffocation.</w:t>
      </w:r>
      <w:r w:rsidRPr="00E96719">
        <w:rPr>
          <w:rFonts w:ascii="Helvetica" w:eastAsia="Times New Roman" w:hAnsi="Helvetica" w:cs="Helvetica"/>
          <w:color w:val="000000"/>
          <w:sz w:val="24"/>
          <w:szCs w:val="24"/>
        </w:rPr>
        <w:br/>
      </w:r>
    </w:p>
    <w:p w14:paraId="1DF6A41D" w14:textId="52BB0F58" w:rsidR="00E96719" w:rsidRPr="00E96719" w:rsidRDefault="00E96719" w:rsidP="00E96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b/>
          <w:bCs/>
          <w:color w:val="000000"/>
          <w:sz w:val="24"/>
          <w:szCs w:val="24"/>
        </w:rPr>
        <w:t>Persons with a medical condition, mental health condition, or disability that prevents wearing a face covering.</w:t>
      </w:r>
      <w:r w:rsidRPr="00E96719">
        <w:rPr>
          <w:rFonts w:ascii="Helvetica" w:eastAsia="Times New Roman" w:hAnsi="Helvetica" w:cs="Helvetica"/>
          <w:color w:val="000000"/>
          <w:sz w:val="24"/>
          <w:szCs w:val="24"/>
        </w:rPr>
        <w:t> This includes persons with a medical condition for whom wearing a face covering could obstruct breathing or who are unconscious, incapacitated, or otherwise unable to remove a face covering without assistance. Such conditions are rare.</w:t>
      </w:r>
      <w:r w:rsidRPr="00E96719">
        <w:rPr>
          <w:rFonts w:ascii="Helvetica" w:eastAsia="Times New Roman" w:hAnsi="Helvetica" w:cs="Helvetica"/>
          <w:color w:val="000000"/>
          <w:sz w:val="24"/>
          <w:szCs w:val="24"/>
        </w:rPr>
        <w:br/>
      </w:r>
    </w:p>
    <w:p w14:paraId="1A02A5C8" w14:textId="77777777" w:rsidR="00E96719" w:rsidRPr="00E96719" w:rsidRDefault="00E96719" w:rsidP="00E96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lastRenderedPageBreak/>
        <w:t>Persons who are hearing impaired, or communicating with a person who is hearing impaired, where the ability to see the mouth is essential for communication.</w:t>
      </w:r>
      <w:r w:rsidRPr="00E96719">
        <w:rPr>
          <w:rFonts w:ascii="Helvetica" w:eastAsia="Times New Roman" w:hAnsi="Helvetica" w:cs="Helvetica"/>
          <w:color w:val="000000"/>
          <w:sz w:val="24"/>
          <w:szCs w:val="24"/>
        </w:rPr>
        <w:br/>
      </w:r>
    </w:p>
    <w:p w14:paraId="729EBACD" w14:textId="77777777" w:rsidR="00E96719" w:rsidRPr="00E96719" w:rsidRDefault="00E96719" w:rsidP="00E96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Persons for whom wearing a face covering would create a risk to the person related to their work, as determined by local, state, or federal regulators or workplace safety guidelines.</w:t>
      </w:r>
    </w:p>
    <w:p w14:paraId="4E713FCF" w14:textId="77777777" w:rsidR="00E96719" w:rsidRP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The CDPH Face Coverings guidance refers to the Centers for Disease Control and Prevention (CDC) face coverings website at </w:t>
      </w:r>
      <w:hyperlink r:id="rId8" w:anchor="evidence-effectiveness" w:tgtFrame="_blank" w:history="1">
        <w:r w:rsidRPr="00E96719">
          <w:rPr>
            <w:rFonts w:ascii="Helvetica" w:eastAsia="Times New Roman" w:hAnsi="Helvetica" w:cs="Helvetica"/>
            <w:color w:val="0000FF"/>
            <w:sz w:val="24"/>
            <w:szCs w:val="24"/>
            <w:u w:val="single"/>
          </w:rPr>
          <w:t>https://www.cdc.gov/coronavirus/2019-ncov/prevent-getting-sick/cloth-face-cover-guidance.html#evidence-effectiveness</w:t>
        </w:r>
        <w:r w:rsidRPr="00E96719">
          <w:rPr>
            <w:rFonts w:ascii="Helvetica" w:eastAsia="Times New Roman" w:hAnsi="Helvetica" w:cs="Helvetica"/>
            <w:noProof/>
            <w:color w:val="000000"/>
            <w:sz w:val="24"/>
            <w:szCs w:val="24"/>
          </w:rPr>
          <w:drawing>
            <wp:inline distT="0" distB="0" distL="0" distR="0" wp14:anchorId="08205A34" wp14:editId="5C313B01">
              <wp:extent cx="114300" cy="104775"/>
              <wp:effectExtent l="0" t="0" r="0" b="9525"/>
              <wp:docPr id="2" name="Picture 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opens in new window or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hyperlink>
      <w:r w:rsidRPr="00E96719">
        <w:rPr>
          <w:rFonts w:ascii="Helvetica" w:eastAsia="Times New Roman" w:hAnsi="Helvetica" w:cs="Helvetica"/>
          <w:color w:val="000000"/>
          <w:sz w:val="24"/>
          <w:szCs w:val="24"/>
        </w:rPr>
        <w:t> for additional information and resources regarding masks and face coverings. The CDC face coverings website acknowledges that certain groups of people may find it difficult to wear a mask, including some children 2 years (and older) and people of any age with certain disabilities. According to the CDC face coverings website:</w:t>
      </w:r>
    </w:p>
    <w:p w14:paraId="69A9D36B" w14:textId="77777777" w:rsidR="00E96719" w:rsidRP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Appropriate and consistent use of masks may be challenging for some children and for people of any age with certain disabilities, including cognitive, intellectual, developmental, sensory, and behavioral disorders.</w:t>
      </w:r>
    </w:p>
    <w:p w14:paraId="3320AD4D" w14:textId="77777777" w:rsidR="00E96719" w:rsidRP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When deciding if children and people with certain disabilities should wear a mask, determine if they can:</w:t>
      </w:r>
    </w:p>
    <w:p w14:paraId="07A53F5D" w14:textId="77777777" w:rsidR="00E96719" w:rsidRPr="00E96719" w:rsidRDefault="00E96719" w:rsidP="00E96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Use a mask correctly</w:t>
      </w:r>
    </w:p>
    <w:p w14:paraId="697C84D6" w14:textId="77777777" w:rsidR="00E96719" w:rsidRPr="00E96719" w:rsidRDefault="00E96719" w:rsidP="00E96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Avoid frequent touching of the mask and their face</w:t>
      </w:r>
    </w:p>
    <w:p w14:paraId="6900EC77" w14:textId="77777777" w:rsidR="00E96719" w:rsidRPr="00E96719" w:rsidRDefault="00E96719" w:rsidP="00E96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Limit sucking, drooling, or having excess saliva on the mask</w:t>
      </w:r>
    </w:p>
    <w:p w14:paraId="637C928E" w14:textId="77777777" w:rsidR="00E96719" w:rsidRPr="00E96719" w:rsidRDefault="00E96719" w:rsidP="00E96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Remove the mask without assistance</w:t>
      </w:r>
    </w:p>
    <w:p w14:paraId="3D0F3F0F" w14:textId="77777777" w:rsidR="00E96719" w:rsidRP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If children and people with certain disabilities are unable to wear a mask properly or cannot tolerate a mask, they should not wear one.</w:t>
      </w:r>
    </w:p>
    <w:p w14:paraId="0CF2E464" w14:textId="1520C573" w:rsidR="00E96719" w:rsidRP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Students with disabilities must not be excluded from educational environments if their disability prevents them from wearing a face covering. LEAs must continue to adhere to least restrictive environment requirements of the Individuals with Disabilities Education Act (IDEA) when educating students with disabilities, including educating students with disabilities are educated with their nondisabled peers to the maximum extent appropriate (34 </w:t>
      </w:r>
      <w:r w:rsidRPr="00E96719">
        <w:rPr>
          <w:rFonts w:ascii="Helvetica" w:eastAsia="Times New Roman" w:hAnsi="Helvetica" w:cs="Helvetica"/>
          <w:i/>
          <w:iCs/>
          <w:color w:val="000000"/>
          <w:sz w:val="24"/>
          <w:szCs w:val="24"/>
        </w:rPr>
        <w:t>Code of Federal Regulations</w:t>
      </w:r>
      <w:r w:rsidRPr="00E96719">
        <w:rPr>
          <w:rFonts w:ascii="Helvetica" w:eastAsia="Times New Roman" w:hAnsi="Helvetica" w:cs="Helvetica"/>
          <w:color w:val="000000"/>
          <w:sz w:val="24"/>
          <w:szCs w:val="24"/>
        </w:rPr>
        <w:t> §300.114). It is imperative that LEAs continue to monitor the applicability of existing exemptions to individual students with a disability and avoid implementation of policies related to face coverings that may result in a denial of FAPE under the IDEA.</w:t>
      </w:r>
    </w:p>
    <w:p w14:paraId="5D307DCF" w14:textId="77777777" w:rsidR="00E96719" w:rsidRP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Should there be any questions related to the above information, please contact the Special Education Division via email at </w:t>
      </w:r>
      <w:hyperlink r:id="rId9" w:history="1">
        <w:r w:rsidRPr="00E96719">
          <w:rPr>
            <w:rFonts w:ascii="Helvetica" w:eastAsia="Times New Roman" w:hAnsi="Helvetica" w:cs="Helvetica"/>
            <w:color w:val="0000FF"/>
            <w:sz w:val="24"/>
            <w:szCs w:val="24"/>
            <w:u w:val="single"/>
          </w:rPr>
          <w:t>SEDInfo@cde.ca.gov</w:t>
        </w:r>
      </w:hyperlink>
      <w:r w:rsidRPr="00E96719">
        <w:rPr>
          <w:rFonts w:ascii="Helvetica" w:eastAsia="Times New Roman" w:hAnsi="Helvetica" w:cs="Helvetica"/>
          <w:color w:val="000000"/>
          <w:sz w:val="24"/>
          <w:szCs w:val="24"/>
        </w:rPr>
        <w:t>.</w:t>
      </w:r>
    </w:p>
    <w:p w14:paraId="09280DB0" w14:textId="77777777" w:rsid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Sincerely,</w:t>
      </w:r>
    </w:p>
    <w:p w14:paraId="38EC085D" w14:textId="30BE21EB" w:rsidR="00E96719" w:rsidRPr="00E96719" w:rsidRDefault="00E96719" w:rsidP="00E96719">
      <w:pPr>
        <w:shd w:val="clear" w:color="auto" w:fill="FFFFFF"/>
        <w:spacing w:after="240" w:line="240" w:lineRule="auto"/>
        <w:rPr>
          <w:rFonts w:ascii="Helvetica" w:eastAsia="Times New Roman" w:hAnsi="Helvetica" w:cs="Helvetica"/>
          <w:color w:val="000000"/>
          <w:sz w:val="24"/>
          <w:szCs w:val="24"/>
        </w:rPr>
      </w:pPr>
      <w:r w:rsidRPr="00E96719">
        <w:rPr>
          <w:rFonts w:ascii="Helvetica" w:eastAsia="Times New Roman" w:hAnsi="Helvetica" w:cs="Helvetica"/>
          <w:color w:val="000000"/>
          <w:sz w:val="24"/>
          <w:szCs w:val="24"/>
        </w:rPr>
        <w:t xml:space="preserve">Heather </w:t>
      </w:r>
      <w:proofErr w:type="spellStart"/>
      <w:r w:rsidRPr="00E96719">
        <w:rPr>
          <w:rFonts w:ascii="Helvetica" w:eastAsia="Times New Roman" w:hAnsi="Helvetica" w:cs="Helvetica"/>
          <w:color w:val="000000"/>
          <w:sz w:val="24"/>
          <w:szCs w:val="24"/>
        </w:rPr>
        <w:t>Calomese</w:t>
      </w:r>
      <w:proofErr w:type="spellEnd"/>
      <w:r w:rsidRPr="00E96719">
        <w:rPr>
          <w:rFonts w:ascii="Helvetica" w:eastAsia="Times New Roman" w:hAnsi="Helvetica" w:cs="Helvetica"/>
          <w:color w:val="000000"/>
          <w:sz w:val="24"/>
          <w:szCs w:val="24"/>
        </w:rPr>
        <w:t>, Director</w:t>
      </w:r>
      <w:r w:rsidRPr="00E96719">
        <w:rPr>
          <w:rFonts w:ascii="Helvetica" w:eastAsia="Times New Roman" w:hAnsi="Helvetica" w:cs="Helvetica"/>
          <w:color w:val="000000"/>
          <w:sz w:val="24"/>
          <w:szCs w:val="24"/>
        </w:rPr>
        <w:br/>
        <w:t>Special Education Division</w:t>
      </w:r>
      <w:r w:rsidRPr="00E96719">
        <w:rPr>
          <w:rFonts w:ascii="Helvetica" w:eastAsia="Times New Roman" w:hAnsi="Helvetica" w:cs="Helvetica"/>
          <w:color w:val="000000"/>
          <w:sz w:val="24"/>
          <w:szCs w:val="24"/>
        </w:rPr>
        <w:br/>
        <w:t>Opportunities for All Branch</w:t>
      </w:r>
    </w:p>
    <w:p w14:paraId="04B6CFD1" w14:textId="2552A411" w:rsidR="00E96719" w:rsidRDefault="00E96719"/>
    <w:sectPr w:rsidR="00E96719" w:rsidSect="00E96719">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401A2"/>
    <w:multiLevelType w:val="multilevel"/>
    <w:tmpl w:val="B982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F4117"/>
    <w:multiLevelType w:val="multilevel"/>
    <w:tmpl w:val="826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19"/>
    <w:rsid w:val="00E9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92D4"/>
  <w15:chartTrackingRefBased/>
  <w15:docId w15:val="{BA5E550A-1042-4CFF-B380-E8337C84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2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cloth-face-cover-guidance.html"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ID/DCDC/Pages/COVID-19/guidance-for-face-coverings.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DInfo@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2021-03-09T22:22:00Z</dcterms:created>
  <dcterms:modified xsi:type="dcterms:W3CDTF">2021-03-09T22:25:00Z</dcterms:modified>
</cp:coreProperties>
</file>